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AFC1" w14:textId="77777777" w:rsidR="00D47F10" w:rsidRDefault="00D47F10" w:rsidP="00785105">
      <w:pPr>
        <w:pStyle w:val="Default"/>
        <w:spacing w:after="240"/>
        <w:jc w:val="center"/>
        <w:rPr>
          <w:b/>
          <w:bCs/>
          <w:sz w:val="22"/>
          <w:szCs w:val="22"/>
        </w:rPr>
      </w:pPr>
    </w:p>
    <w:p w14:paraId="09932C8C" w14:textId="77777777" w:rsidR="008678F0" w:rsidRPr="00A22065" w:rsidRDefault="008678F0" w:rsidP="008678F0">
      <w:pPr>
        <w:pStyle w:val="Default"/>
        <w:spacing w:after="240" w:line="480" w:lineRule="auto"/>
        <w:jc w:val="center"/>
        <w:rPr>
          <w:b/>
          <w:bCs/>
          <w:sz w:val="22"/>
          <w:szCs w:val="22"/>
        </w:rPr>
      </w:pPr>
      <w:r w:rsidRPr="00776090">
        <w:rPr>
          <w:b/>
          <w:bCs/>
          <w:sz w:val="22"/>
          <w:szCs w:val="22"/>
        </w:rPr>
        <w:t xml:space="preserve">APPEAL REF: </w:t>
      </w:r>
      <w:r w:rsidRPr="00217A9F">
        <w:rPr>
          <w:b/>
          <w:bCs/>
          <w:sz w:val="22"/>
          <w:szCs w:val="22"/>
        </w:rPr>
        <w:t>APP/X2410/W/23/3325902</w:t>
      </w:r>
      <w:r w:rsidRPr="00217A9F">
        <w:rPr>
          <w:b/>
          <w:bCs/>
          <w:sz w:val="22"/>
          <w:szCs w:val="22"/>
        </w:rPr>
        <w:cr/>
      </w:r>
      <w:r w:rsidRPr="00FA15DC">
        <w:rPr>
          <w:b/>
          <w:bCs/>
          <w:sz w:val="22"/>
          <w:szCs w:val="22"/>
        </w:rPr>
        <w:t>(Application ref: P/21/2639/2)</w:t>
      </w:r>
    </w:p>
    <w:p w14:paraId="6E20A3AA" w14:textId="77777777" w:rsidR="008678F0" w:rsidRPr="00776090" w:rsidRDefault="008678F0" w:rsidP="008678F0">
      <w:pPr>
        <w:pStyle w:val="Default"/>
        <w:spacing w:after="240" w:line="480" w:lineRule="auto"/>
        <w:jc w:val="center"/>
        <w:rPr>
          <w:sz w:val="22"/>
          <w:szCs w:val="22"/>
        </w:rPr>
      </w:pPr>
      <w:r w:rsidRPr="00111E3C">
        <w:rPr>
          <w:b/>
          <w:bCs/>
          <w:sz w:val="22"/>
          <w:szCs w:val="22"/>
        </w:rPr>
        <w:t>Land north of</w:t>
      </w:r>
      <w:r>
        <w:rPr>
          <w:b/>
          <w:bCs/>
          <w:sz w:val="22"/>
          <w:szCs w:val="22"/>
        </w:rPr>
        <w:t xml:space="preserve"> </w:t>
      </w:r>
      <w:r w:rsidRPr="00E47B10">
        <w:rPr>
          <w:b/>
          <w:bCs/>
          <w:sz w:val="22"/>
          <w:szCs w:val="22"/>
        </w:rPr>
        <w:t>Barkby Road</w:t>
      </w:r>
      <w:r w:rsidRPr="00776090">
        <w:rPr>
          <w:b/>
          <w:bCs/>
          <w:sz w:val="22"/>
          <w:szCs w:val="22"/>
        </w:rPr>
        <w:t xml:space="preserve">, </w:t>
      </w:r>
      <w:r w:rsidRPr="00E47B10">
        <w:rPr>
          <w:b/>
          <w:bCs/>
          <w:sz w:val="22"/>
          <w:szCs w:val="22"/>
        </w:rPr>
        <w:t>Syston</w:t>
      </w:r>
      <w:r w:rsidRPr="00776090">
        <w:rPr>
          <w:b/>
          <w:bCs/>
          <w:sz w:val="22"/>
          <w:szCs w:val="22"/>
        </w:rPr>
        <w:t xml:space="preserve">, </w:t>
      </w:r>
      <w:r w:rsidRPr="00E47B10">
        <w:rPr>
          <w:b/>
          <w:bCs/>
          <w:sz w:val="22"/>
          <w:szCs w:val="22"/>
        </w:rPr>
        <w:t>Leicestershire</w:t>
      </w:r>
    </w:p>
    <w:p w14:paraId="7533A26C" w14:textId="77777777" w:rsidR="008678F0" w:rsidRDefault="008678F0" w:rsidP="008678F0">
      <w:pPr>
        <w:pStyle w:val="Default"/>
        <w:spacing w:after="240" w:line="480" w:lineRule="auto"/>
        <w:rPr>
          <w:sz w:val="22"/>
          <w:szCs w:val="22"/>
        </w:rPr>
      </w:pPr>
      <w:r w:rsidRPr="00932F3C">
        <w:rPr>
          <w:sz w:val="22"/>
          <w:szCs w:val="22"/>
        </w:rPr>
        <w:t>Outline planning application for up to 195 dwellings, together with associated affordable housing, open space, landscaping, drainage and play space facilities</w:t>
      </w:r>
      <w:r>
        <w:rPr>
          <w:sz w:val="22"/>
          <w:szCs w:val="22"/>
        </w:rPr>
        <w:t xml:space="preserve">. </w:t>
      </w:r>
      <w:r w:rsidRPr="00C56766">
        <w:rPr>
          <w:sz w:val="22"/>
          <w:szCs w:val="22"/>
        </w:rPr>
        <w:t>All matters reserved bar access which is proposed from Barkby Road.</w:t>
      </w:r>
    </w:p>
    <w:p w14:paraId="16C1F8FB" w14:textId="3E789DF3" w:rsidR="00FD1D57" w:rsidRDefault="00785105" w:rsidP="00B113D5">
      <w:pPr>
        <w:pStyle w:val="Default"/>
        <w:spacing w:after="240" w:line="480" w:lineRule="auto"/>
        <w:rPr>
          <w:b/>
          <w:bCs/>
          <w:sz w:val="22"/>
          <w:szCs w:val="22"/>
        </w:rPr>
      </w:pPr>
      <w:r w:rsidRPr="00776090">
        <w:rPr>
          <w:b/>
          <w:bCs/>
          <w:sz w:val="22"/>
          <w:szCs w:val="22"/>
        </w:rPr>
        <w:t xml:space="preserve">CASE MANAGEMENT </w:t>
      </w:r>
      <w:r w:rsidRPr="009E785C">
        <w:rPr>
          <w:b/>
          <w:bCs/>
          <w:sz w:val="22"/>
          <w:szCs w:val="22"/>
        </w:rPr>
        <w:t xml:space="preserve">CONFERENCE </w:t>
      </w:r>
      <w:r w:rsidR="00AD7FA5">
        <w:rPr>
          <w:b/>
          <w:bCs/>
          <w:sz w:val="22"/>
          <w:szCs w:val="22"/>
        </w:rPr>
        <w:t>SUMMARY</w:t>
      </w:r>
    </w:p>
    <w:p w14:paraId="18C2C871" w14:textId="37FD92B4" w:rsidR="0054073E" w:rsidRPr="0054073E" w:rsidRDefault="0054073E" w:rsidP="0054073E">
      <w:pPr>
        <w:pStyle w:val="Default"/>
        <w:spacing w:after="240"/>
        <w:rPr>
          <w:b/>
          <w:bCs/>
          <w:sz w:val="22"/>
          <w:szCs w:val="22"/>
        </w:rPr>
      </w:pPr>
      <w:r w:rsidRPr="0054073E">
        <w:rPr>
          <w:b/>
          <w:bCs/>
          <w:sz w:val="22"/>
          <w:szCs w:val="22"/>
        </w:rPr>
        <w:t xml:space="preserve">The Council is encouraged to draw the attention of interested parties to this Note, including posting a copy on its website. </w:t>
      </w:r>
    </w:p>
    <w:p w14:paraId="2A9907DB" w14:textId="3BFB4BCF" w:rsidR="00AD7FA5" w:rsidRPr="007949C6" w:rsidRDefault="00AD7FA5" w:rsidP="00FF6BCF">
      <w:pPr>
        <w:pStyle w:val="Default"/>
        <w:numPr>
          <w:ilvl w:val="0"/>
          <w:numId w:val="1"/>
        </w:numPr>
        <w:spacing w:after="240"/>
        <w:ind w:left="426" w:hanging="426"/>
        <w:rPr>
          <w:sz w:val="22"/>
          <w:szCs w:val="22"/>
        </w:rPr>
      </w:pPr>
      <w:r w:rsidRPr="004F08B5">
        <w:rPr>
          <w:sz w:val="22"/>
          <w:szCs w:val="22"/>
        </w:rPr>
        <w:t xml:space="preserve">The case management conference was led by the Inquiry Inspector, Rekha Sabu. The Inquiry is to be held at the </w:t>
      </w:r>
      <w:r w:rsidR="00CB631E">
        <w:rPr>
          <w:sz w:val="22"/>
          <w:szCs w:val="22"/>
        </w:rPr>
        <w:t>Charnwood Borough Council office</w:t>
      </w:r>
      <w:r w:rsidRPr="004F08B5">
        <w:rPr>
          <w:sz w:val="22"/>
          <w:szCs w:val="22"/>
        </w:rPr>
        <w:t>,</w:t>
      </w:r>
      <w:r w:rsidR="008A39C0">
        <w:rPr>
          <w:sz w:val="22"/>
          <w:szCs w:val="22"/>
        </w:rPr>
        <w:t xml:space="preserve"> Southfield Road</w:t>
      </w:r>
      <w:r w:rsidRPr="004F08B5">
        <w:rPr>
          <w:sz w:val="22"/>
          <w:szCs w:val="22"/>
        </w:rPr>
        <w:t xml:space="preserve"> opening at 10.00am on Tuesday </w:t>
      </w:r>
      <w:r w:rsidR="00F529D4" w:rsidRPr="004F08B5">
        <w:rPr>
          <w:sz w:val="22"/>
          <w:szCs w:val="22"/>
        </w:rPr>
        <w:t>1</w:t>
      </w:r>
      <w:r w:rsidR="008A39C0">
        <w:rPr>
          <w:sz w:val="22"/>
          <w:szCs w:val="22"/>
        </w:rPr>
        <w:t>4</w:t>
      </w:r>
      <w:r w:rsidRPr="004F08B5">
        <w:rPr>
          <w:sz w:val="22"/>
          <w:szCs w:val="22"/>
        </w:rPr>
        <w:t xml:space="preserve"> </w:t>
      </w:r>
      <w:r w:rsidR="008A39C0">
        <w:rPr>
          <w:sz w:val="22"/>
          <w:szCs w:val="22"/>
        </w:rPr>
        <w:t>Nov</w:t>
      </w:r>
      <w:r w:rsidR="00F529D4" w:rsidRPr="004F08B5">
        <w:rPr>
          <w:sz w:val="22"/>
          <w:szCs w:val="22"/>
        </w:rPr>
        <w:t xml:space="preserve">ember </w:t>
      </w:r>
      <w:r w:rsidR="00F529D4" w:rsidRPr="007949C6">
        <w:rPr>
          <w:sz w:val="22"/>
          <w:szCs w:val="22"/>
        </w:rPr>
        <w:t>2023</w:t>
      </w:r>
      <w:r w:rsidRPr="007949C6">
        <w:rPr>
          <w:sz w:val="22"/>
          <w:szCs w:val="22"/>
        </w:rPr>
        <w:t>.</w:t>
      </w:r>
    </w:p>
    <w:p w14:paraId="53DEC0EA" w14:textId="77777777" w:rsidR="00454140" w:rsidRDefault="006A5DDF" w:rsidP="00344EA0">
      <w:pPr>
        <w:pStyle w:val="Default"/>
        <w:numPr>
          <w:ilvl w:val="0"/>
          <w:numId w:val="1"/>
        </w:numPr>
        <w:spacing w:after="240"/>
        <w:ind w:left="426" w:hanging="426"/>
        <w:rPr>
          <w:sz w:val="22"/>
          <w:szCs w:val="22"/>
        </w:rPr>
      </w:pPr>
      <w:r w:rsidRPr="00454140">
        <w:rPr>
          <w:sz w:val="22"/>
          <w:szCs w:val="22"/>
        </w:rPr>
        <w:t>The Inquiry is</w:t>
      </w:r>
      <w:r w:rsidR="000A09B8" w:rsidRPr="00454140">
        <w:rPr>
          <w:sz w:val="22"/>
          <w:szCs w:val="22"/>
        </w:rPr>
        <w:t xml:space="preserve"> currently scheduled to sit for up to </w:t>
      </w:r>
      <w:r w:rsidR="008A39C0" w:rsidRPr="00454140">
        <w:rPr>
          <w:sz w:val="22"/>
          <w:szCs w:val="22"/>
        </w:rPr>
        <w:t>two</w:t>
      </w:r>
      <w:r w:rsidR="000A09B8" w:rsidRPr="00454140">
        <w:rPr>
          <w:sz w:val="22"/>
          <w:szCs w:val="22"/>
        </w:rPr>
        <w:t xml:space="preserve"> days</w:t>
      </w:r>
      <w:r w:rsidR="00630BC4" w:rsidRPr="00454140">
        <w:rPr>
          <w:sz w:val="22"/>
          <w:szCs w:val="22"/>
        </w:rPr>
        <w:t xml:space="preserve">. </w:t>
      </w:r>
    </w:p>
    <w:p w14:paraId="65148F6F" w14:textId="28AEC596" w:rsidR="00486CAD" w:rsidRPr="00454140" w:rsidRDefault="00486CAD" w:rsidP="00454140">
      <w:pPr>
        <w:pStyle w:val="Default"/>
        <w:spacing w:after="240"/>
        <w:rPr>
          <w:sz w:val="22"/>
          <w:szCs w:val="22"/>
        </w:rPr>
      </w:pPr>
      <w:r w:rsidRPr="00454140">
        <w:rPr>
          <w:b/>
          <w:bCs/>
          <w:sz w:val="22"/>
          <w:szCs w:val="22"/>
        </w:rPr>
        <w:t xml:space="preserve">Appearances </w:t>
      </w:r>
    </w:p>
    <w:p w14:paraId="116CA9FC" w14:textId="77551AB7" w:rsidR="00486CAD" w:rsidRPr="00486CAD" w:rsidRDefault="00486CAD" w:rsidP="00486CAD">
      <w:pPr>
        <w:pStyle w:val="Default"/>
        <w:numPr>
          <w:ilvl w:val="0"/>
          <w:numId w:val="1"/>
        </w:numPr>
        <w:spacing w:after="240"/>
        <w:ind w:left="426" w:hanging="426"/>
        <w:rPr>
          <w:sz w:val="22"/>
          <w:szCs w:val="22"/>
        </w:rPr>
      </w:pPr>
      <w:r w:rsidRPr="00486CAD">
        <w:rPr>
          <w:sz w:val="22"/>
          <w:szCs w:val="22"/>
        </w:rPr>
        <w:t>Appearances for the main parties were confirmed as follows:</w:t>
      </w:r>
    </w:p>
    <w:p w14:paraId="1EAEF6FC" w14:textId="079F0D47" w:rsidR="00850D59" w:rsidRDefault="00850D59" w:rsidP="00812FA1">
      <w:pPr>
        <w:pStyle w:val="Default"/>
        <w:ind w:left="426"/>
        <w:rPr>
          <w:sz w:val="22"/>
          <w:szCs w:val="22"/>
        </w:rPr>
      </w:pPr>
      <w:r w:rsidRPr="00AA4D9F">
        <w:rPr>
          <w:sz w:val="22"/>
          <w:szCs w:val="22"/>
        </w:rPr>
        <w:t xml:space="preserve">Odette Chalaby </w:t>
      </w:r>
      <w:r>
        <w:rPr>
          <w:sz w:val="22"/>
          <w:szCs w:val="22"/>
        </w:rPr>
        <w:t>for Charnwood Borough Council; and</w:t>
      </w:r>
    </w:p>
    <w:p w14:paraId="350F77BA" w14:textId="77777777" w:rsidR="00850D59" w:rsidRDefault="00850D59" w:rsidP="00825366">
      <w:pPr>
        <w:pStyle w:val="Default"/>
        <w:ind w:left="426"/>
        <w:rPr>
          <w:sz w:val="22"/>
          <w:szCs w:val="22"/>
        </w:rPr>
      </w:pPr>
    </w:p>
    <w:p w14:paraId="1299310A" w14:textId="28743E97" w:rsidR="00486CAD" w:rsidRDefault="00850D59" w:rsidP="00825366">
      <w:pPr>
        <w:pStyle w:val="Default"/>
        <w:ind w:left="426"/>
        <w:rPr>
          <w:sz w:val="22"/>
          <w:szCs w:val="22"/>
        </w:rPr>
      </w:pPr>
      <w:r>
        <w:rPr>
          <w:sz w:val="22"/>
          <w:szCs w:val="22"/>
        </w:rPr>
        <w:t xml:space="preserve">James Pereira KC for </w:t>
      </w:r>
      <w:r w:rsidR="00742442">
        <w:rPr>
          <w:sz w:val="22"/>
          <w:szCs w:val="22"/>
        </w:rPr>
        <w:t>the Appellant</w:t>
      </w:r>
      <w:r w:rsidR="00D96585">
        <w:rPr>
          <w:sz w:val="22"/>
          <w:szCs w:val="22"/>
        </w:rPr>
        <w:t>.</w:t>
      </w:r>
    </w:p>
    <w:p w14:paraId="64E421E7" w14:textId="77777777" w:rsidR="00825366" w:rsidRDefault="00825366" w:rsidP="00825366">
      <w:pPr>
        <w:pStyle w:val="Default"/>
        <w:ind w:left="426"/>
        <w:rPr>
          <w:sz w:val="22"/>
          <w:szCs w:val="22"/>
        </w:rPr>
      </w:pPr>
    </w:p>
    <w:p w14:paraId="6AB8A137" w14:textId="77777777" w:rsidR="00D6587E" w:rsidRPr="007949C6" w:rsidRDefault="00D6587E" w:rsidP="00E14250">
      <w:pPr>
        <w:pStyle w:val="Default"/>
        <w:numPr>
          <w:ilvl w:val="0"/>
          <w:numId w:val="1"/>
        </w:numPr>
        <w:spacing w:after="240"/>
        <w:ind w:left="426" w:hanging="426"/>
        <w:rPr>
          <w:sz w:val="22"/>
          <w:szCs w:val="22"/>
        </w:rPr>
      </w:pPr>
      <w:r w:rsidRPr="007949C6">
        <w:rPr>
          <w:sz w:val="22"/>
          <w:szCs w:val="22"/>
        </w:rPr>
        <w:t xml:space="preserve">The Council agreed to provide an officer during the Inquiry to assist with administration and to act as a point of contact at the event for interested parties. </w:t>
      </w:r>
    </w:p>
    <w:p w14:paraId="2BD603A5" w14:textId="2AC18D1B" w:rsidR="00785105" w:rsidRPr="00D035EF" w:rsidRDefault="00785105" w:rsidP="00785105">
      <w:pPr>
        <w:pStyle w:val="Default"/>
        <w:spacing w:after="240"/>
        <w:rPr>
          <w:b/>
          <w:bCs/>
          <w:sz w:val="22"/>
          <w:szCs w:val="22"/>
        </w:rPr>
      </w:pPr>
      <w:r w:rsidRPr="00D035EF">
        <w:rPr>
          <w:b/>
          <w:bCs/>
          <w:sz w:val="22"/>
          <w:szCs w:val="22"/>
        </w:rPr>
        <w:t xml:space="preserve">Main Issues </w:t>
      </w:r>
    </w:p>
    <w:p w14:paraId="39013D2B" w14:textId="0C0415A9" w:rsidR="00C60B62" w:rsidRPr="00D035EF" w:rsidRDefault="00742442" w:rsidP="00567A4B">
      <w:pPr>
        <w:pStyle w:val="Default"/>
        <w:numPr>
          <w:ilvl w:val="0"/>
          <w:numId w:val="1"/>
        </w:numPr>
        <w:spacing w:after="240"/>
        <w:ind w:left="426" w:hanging="426"/>
        <w:rPr>
          <w:sz w:val="22"/>
          <w:szCs w:val="22"/>
        </w:rPr>
      </w:pPr>
      <w:r>
        <w:rPr>
          <w:sz w:val="22"/>
          <w:szCs w:val="22"/>
        </w:rPr>
        <w:t>I</w:t>
      </w:r>
      <w:r w:rsidR="00C60B62" w:rsidRPr="00D035EF">
        <w:rPr>
          <w:sz w:val="22"/>
          <w:szCs w:val="22"/>
        </w:rPr>
        <w:t xml:space="preserve">t was agreed that the main issues in this case are likely to relate to: </w:t>
      </w:r>
    </w:p>
    <w:p w14:paraId="16D04B94" w14:textId="77777777" w:rsidR="004471CB" w:rsidRPr="004471CB" w:rsidRDefault="004471CB" w:rsidP="004471CB">
      <w:pPr>
        <w:pStyle w:val="Default"/>
        <w:numPr>
          <w:ilvl w:val="0"/>
          <w:numId w:val="6"/>
        </w:numPr>
        <w:spacing w:after="240"/>
        <w:rPr>
          <w:sz w:val="22"/>
          <w:szCs w:val="22"/>
        </w:rPr>
      </w:pPr>
      <w:r w:rsidRPr="004471CB">
        <w:rPr>
          <w:sz w:val="22"/>
          <w:szCs w:val="22"/>
        </w:rPr>
        <w:t>whether the proposed transport contributions would meet the tests within the CIL Regulations and National Planning Policy Framework; and</w:t>
      </w:r>
    </w:p>
    <w:p w14:paraId="4FF01EAB" w14:textId="77777777" w:rsidR="004471CB" w:rsidRPr="004471CB" w:rsidRDefault="004471CB" w:rsidP="004471CB">
      <w:pPr>
        <w:pStyle w:val="Default"/>
        <w:numPr>
          <w:ilvl w:val="0"/>
          <w:numId w:val="6"/>
        </w:numPr>
        <w:spacing w:after="240"/>
        <w:rPr>
          <w:sz w:val="22"/>
          <w:szCs w:val="22"/>
        </w:rPr>
      </w:pPr>
      <w:r w:rsidRPr="004471CB">
        <w:rPr>
          <w:sz w:val="22"/>
          <w:szCs w:val="22"/>
        </w:rPr>
        <w:t xml:space="preserve">planning policy and the planning balance. </w:t>
      </w:r>
    </w:p>
    <w:p w14:paraId="4A48AA57" w14:textId="77777777" w:rsidR="00D035EF" w:rsidRPr="00D035EF" w:rsidRDefault="00D035EF" w:rsidP="00785105">
      <w:pPr>
        <w:pStyle w:val="Default"/>
        <w:numPr>
          <w:ilvl w:val="0"/>
          <w:numId w:val="1"/>
        </w:numPr>
        <w:spacing w:after="240"/>
        <w:ind w:left="426" w:hanging="426"/>
        <w:rPr>
          <w:sz w:val="22"/>
          <w:szCs w:val="22"/>
        </w:rPr>
      </w:pPr>
      <w:r w:rsidRPr="00D035EF">
        <w:rPr>
          <w:sz w:val="22"/>
          <w:szCs w:val="22"/>
        </w:rPr>
        <w:t xml:space="preserve">The Inquiry will also look at any benefits to be weighed in the planning balance, including any implications of not proceeding with the scheme. </w:t>
      </w:r>
    </w:p>
    <w:p w14:paraId="31E1A0FF" w14:textId="74311FCB" w:rsidR="00785105" w:rsidRPr="00F63D04" w:rsidRDefault="00785105" w:rsidP="00C471FA">
      <w:pPr>
        <w:pStyle w:val="Default"/>
        <w:spacing w:after="240"/>
        <w:rPr>
          <w:b/>
          <w:bCs/>
          <w:sz w:val="22"/>
          <w:szCs w:val="22"/>
        </w:rPr>
      </w:pPr>
      <w:r w:rsidRPr="00F63D04">
        <w:rPr>
          <w:b/>
          <w:bCs/>
          <w:sz w:val="22"/>
          <w:szCs w:val="22"/>
        </w:rPr>
        <w:t xml:space="preserve">Dealing with the Evidence </w:t>
      </w:r>
    </w:p>
    <w:p w14:paraId="3DEC4D05" w14:textId="36DF36CD" w:rsidR="00832DD3" w:rsidRPr="00F63D04" w:rsidRDefault="002404CE" w:rsidP="00785105">
      <w:pPr>
        <w:pStyle w:val="Default"/>
        <w:numPr>
          <w:ilvl w:val="0"/>
          <w:numId w:val="1"/>
        </w:numPr>
        <w:spacing w:after="240"/>
        <w:ind w:left="426" w:hanging="426"/>
        <w:rPr>
          <w:sz w:val="22"/>
          <w:szCs w:val="22"/>
        </w:rPr>
      </w:pPr>
      <w:r w:rsidRPr="00F63D04">
        <w:rPr>
          <w:sz w:val="22"/>
          <w:szCs w:val="22"/>
        </w:rPr>
        <w:t xml:space="preserve">With the agreement of the parties, </w:t>
      </w:r>
      <w:r w:rsidR="0047482F" w:rsidRPr="00F63D04">
        <w:rPr>
          <w:sz w:val="22"/>
          <w:szCs w:val="22"/>
        </w:rPr>
        <w:t xml:space="preserve">the evidence relating to the main issues </w:t>
      </w:r>
      <w:r w:rsidR="00832DD3" w:rsidRPr="00F63D04">
        <w:rPr>
          <w:sz w:val="22"/>
          <w:szCs w:val="22"/>
        </w:rPr>
        <w:t xml:space="preserve">will be tested through </w:t>
      </w:r>
      <w:r w:rsidR="00B20AEC">
        <w:rPr>
          <w:sz w:val="22"/>
          <w:szCs w:val="22"/>
        </w:rPr>
        <w:t>round table sessions</w:t>
      </w:r>
      <w:r w:rsidR="00832DD3" w:rsidRPr="00F63D04">
        <w:rPr>
          <w:sz w:val="22"/>
          <w:szCs w:val="22"/>
        </w:rPr>
        <w:t xml:space="preserve">. </w:t>
      </w:r>
    </w:p>
    <w:p w14:paraId="19509818" w14:textId="53B39BAF" w:rsidR="00F63D04" w:rsidRPr="00CB6B05" w:rsidRDefault="00B20AEC" w:rsidP="00785105">
      <w:pPr>
        <w:pStyle w:val="Default"/>
        <w:numPr>
          <w:ilvl w:val="0"/>
          <w:numId w:val="1"/>
        </w:numPr>
        <w:spacing w:after="240"/>
        <w:ind w:left="426" w:hanging="426"/>
        <w:rPr>
          <w:sz w:val="22"/>
          <w:szCs w:val="22"/>
        </w:rPr>
      </w:pPr>
      <w:r>
        <w:rPr>
          <w:sz w:val="22"/>
          <w:szCs w:val="22"/>
        </w:rPr>
        <w:t>An updated</w:t>
      </w:r>
      <w:r w:rsidR="00F63D04" w:rsidRPr="00CB6B05">
        <w:rPr>
          <w:sz w:val="22"/>
          <w:szCs w:val="22"/>
        </w:rPr>
        <w:t xml:space="preserve"> statement of common</w:t>
      </w:r>
      <w:r w:rsidR="001646A7">
        <w:rPr>
          <w:sz w:val="22"/>
          <w:szCs w:val="22"/>
        </w:rPr>
        <w:t xml:space="preserve"> ground</w:t>
      </w:r>
      <w:r w:rsidR="00F63D04" w:rsidRPr="00CB6B05">
        <w:rPr>
          <w:sz w:val="22"/>
          <w:szCs w:val="22"/>
        </w:rPr>
        <w:t xml:space="preserve">, but more particularly uncommon ground </w:t>
      </w:r>
      <w:r>
        <w:rPr>
          <w:sz w:val="22"/>
          <w:szCs w:val="22"/>
        </w:rPr>
        <w:t>is</w:t>
      </w:r>
      <w:r w:rsidR="00F63D04" w:rsidRPr="00CB6B05">
        <w:rPr>
          <w:sz w:val="22"/>
          <w:szCs w:val="22"/>
        </w:rPr>
        <w:t xml:space="preserve"> required</w:t>
      </w:r>
      <w:r w:rsidR="00622C0B" w:rsidRPr="00CB6B05">
        <w:rPr>
          <w:sz w:val="22"/>
          <w:szCs w:val="22"/>
        </w:rPr>
        <w:t>.</w:t>
      </w:r>
      <w:r w:rsidR="00CB6B05" w:rsidRPr="00CB6B05">
        <w:rPr>
          <w:sz w:val="22"/>
          <w:szCs w:val="22"/>
        </w:rPr>
        <w:t xml:space="preserve"> The appellant is to take the lead in the preparation of those statements, </w:t>
      </w:r>
      <w:r w:rsidR="00CB6B05" w:rsidRPr="00266B54">
        <w:rPr>
          <w:sz w:val="22"/>
          <w:szCs w:val="22"/>
        </w:rPr>
        <w:t>liaising</w:t>
      </w:r>
      <w:r w:rsidR="00CB6B05" w:rsidRPr="00CB6B05">
        <w:rPr>
          <w:sz w:val="22"/>
          <w:szCs w:val="22"/>
        </w:rPr>
        <w:t xml:space="preserve"> with the Council.</w:t>
      </w:r>
    </w:p>
    <w:p w14:paraId="428500CE" w14:textId="57574F9A" w:rsidR="009630CA" w:rsidRDefault="009630CA" w:rsidP="008908EB">
      <w:pPr>
        <w:pStyle w:val="Default"/>
        <w:numPr>
          <w:ilvl w:val="0"/>
          <w:numId w:val="1"/>
        </w:numPr>
        <w:spacing w:after="240"/>
        <w:ind w:left="426" w:hanging="426"/>
        <w:rPr>
          <w:sz w:val="22"/>
          <w:szCs w:val="22"/>
        </w:rPr>
      </w:pPr>
      <w:r w:rsidRPr="009630CA">
        <w:rPr>
          <w:sz w:val="22"/>
          <w:szCs w:val="22"/>
        </w:rPr>
        <w:lastRenderedPageBreak/>
        <w:t xml:space="preserve">Any outstanding matters, including matters raised by interested parties, planning policy, any </w:t>
      </w:r>
      <w:proofErr w:type="gramStart"/>
      <w:r w:rsidRPr="009630CA">
        <w:rPr>
          <w:sz w:val="22"/>
          <w:szCs w:val="22"/>
        </w:rPr>
        <w:t>benefits</w:t>
      </w:r>
      <w:proofErr w:type="gramEnd"/>
      <w:r w:rsidRPr="009630CA">
        <w:rPr>
          <w:sz w:val="22"/>
          <w:szCs w:val="22"/>
        </w:rPr>
        <w:t xml:space="preserve"> and the overall planning balance, will also be dealt with through </w:t>
      </w:r>
      <w:r w:rsidR="00520734">
        <w:rPr>
          <w:sz w:val="22"/>
          <w:szCs w:val="22"/>
        </w:rPr>
        <w:t>round table sessions</w:t>
      </w:r>
      <w:r w:rsidRPr="009630CA">
        <w:rPr>
          <w:sz w:val="22"/>
          <w:szCs w:val="22"/>
        </w:rPr>
        <w:t xml:space="preserve">. </w:t>
      </w:r>
    </w:p>
    <w:p w14:paraId="4C40F9EB" w14:textId="77777777" w:rsidR="00B749D6" w:rsidRPr="00B749D6" w:rsidRDefault="00B749D6" w:rsidP="00B749D6">
      <w:pPr>
        <w:rPr>
          <w:rFonts w:ascii="Arial" w:hAnsi="Arial" w:cs="Arial"/>
          <w:b/>
          <w:bCs/>
          <w:color w:val="000000"/>
        </w:rPr>
      </w:pPr>
      <w:r w:rsidRPr="00B749D6">
        <w:rPr>
          <w:rFonts w:ascii="Arial" w:hAnsi="Arial" w:cs="Arial"/>
          <w:b/>
          <w:bCs/>
          <w:color w:val="000000"/>
        </w:rPr>
        <w:t>Conditions</w:t>
      </w:r>
    </w:p>
    <w:p w14:paraId="72F9737E" w14:textId="7412B5C9" w:rsidR="009630CA" w:rsidRDefault="00520734" w:rsidP="008908EB">
      <w:pPr>
        <w:pStyle w:val="Default"/>
        <w:numPr>
          <w:ilvl w:val="0"/>
          <w:numId w:val="1"/>
        </w:numPr>
        <w:spacing w:after="240"/>
        <w:ind w:left="426" w:hanging="426"/>
        <w:rPr>
          <w:sz w:val="22"/>
          <w:szCs w:val="22"/>
        </w:rPr>
      </w:pPr>
      <w:r>
        <w:rPr>
          <w:sz w:val="22"/>
          <w:szCs w:val="22"/>
        </w:rPr>
        <w:t>A</w:t>
      </w:r>
      <w:r w:rsidR="00EB6BB0">
        <w:rPr>
          <w:sz w:val="22"/>
          <w:szCs w:val="22"/>
        </w:rPr>
        <w:t xml:space="preserve"> </w:t>
      </w:r>
      <w:r w:rsidR="00EB6BB0" w:rsidRPr="00EB6BB0">
        <w:rPr>
          <w:sz w:val="22"/>
          <w:szCs w:val="22"/>
        </w:rPr>
        <w:t>schedule of suggested planning conditions</w:t>
      </w:r>
      <w:r w:rsidR="00413824">
        <w:rPr>
          <w:sz w:val="22"/>
          <w:szCs w:val="22"/>
        </w:rPr>
        <w:t xml:space="preserve"> </w:t>
      </w:r>
      <w:r>
        <w:rPr>
          <w:sz w:val="22"/>
          <w:szCs w:val="22"/>
        </w:rPr>
        <w:t xml:space="preserve">is to be included in the updated </w:t>
      </w:r>
      <w:r w:rsidR="00413824">
        <w:rPr>
          <w:sz w:val="22"/>
          <w:szCs w:val="22"/>
        </w:rPr>
        <w:t xml:space="preserve">Statement of Common Ground. </w:t>
      </w:r>
      <w:r w:rsidR="009A1465">
        <w:rPr>
          <w:sz w:val="22"/>
          <w:szCs w:val="22"/>
        </w:rPr>
        <w:t>If there is a</w:t>
      </w:r>
      <w:r w:rsidR="009A1465" w:rsidRPr="00992822">
        <w:rPr>
          <w:sz w:val="22"/>
          <w:szCs w:val="22"/>
        </w:rPr>
        <w:t xml:space="preserve">ny difference in view on any of the suggested conditions, including suggested wording, </w:t>
      </w:r>
      <w:r w:rsidR="009A1465">
        <w:rPr>
          <w:sz w:val="22"/>
          <w:szCs w:val="22"/>
        </w:rPr>
        <w:t xml:space="preserve">prior to the opening of the Inquiry, this </w:t>
      </w:r>
      <w:r w:rsidR="009A1465" w:rsidRPr="00992822">
        <w:rPr>
          <w:sz w:val="22"/>
          <w:szCs w:val="22"/>
        </w:rPr>
        <w:t xml:space="preserve">should be highlighted in </w:t>
      </w:r>
      <w:r w:rsidR="009A1465">
        <w:rPr>
          <w:sz w:val="22"/>
          <w:szCs w:val="22"/>
        </w:rPr>
        <w:t xml:space="preserve">a </w:t>
      </w:r>
      <w:r w:rsidR="009A1465" w:rsidRPr="00992822">
        <w:rPr>
          <w:sz w:val="22"/>
          <w:szCs w:val="22"/>
        </w:rPr>
        <w:t>schedule with a brief explanation given.</w:t>
      </w:r>
    </w:p>
    <w:p w14:paraId="11DFB96B" w14:textId="6A7BC033" w:rsidR="009A1465" w:rsidRPr="00C65F53" w:rsidRDefault="00C65F53" w:rsidP="00C65F53">
      <w:pPr>
        <w:pStyle w:val="Default"/>
        <w:spacing w:after="240"/>
        <w:rPr>
          <w:sz w:val="22"/>
          <w:szCs w:val="22"/>
        </w:rPr>
      </w:pPr>
      <w:r>
        <w:rPr>
          <w:b/>
          <w:bCs/>
          <w:sz w:val="22"/>
          <w:szCs w:val="22"/>
        </w:rPr>
        <w:t>Planning Obligation</w:t>
      </w:r>
    </w:p>
    <w:p w14:paraId="203C4975" w14:textId="480A84AE" w:rsidR="00C65F53" w:rsidRDefault="0051350E" w:rsidP="008908EB">
      <w:pPr>
        <w:pStyle w:val="Default"/>
        <w:numPr>
          <w:ilvl w:val="0"/>
          <w:numId w:val="1"/>
        </w:numPr>
        <w:spacing w:after="240"/>
        <w:ind w:left="426" w:hanging="426"/>
        <w:rPr>
          <w:sz w:val="22"/>
          <w:szCs w:val="22"/>
        </w:rPr>
      </w:pPr>
      <w:r>
        <w:rPr>
          <w:sz w:val="22"/>
          <w:szCs w:val="22"/>
        </w:rPr>
        <w:t>A</w:t>
      </w:r>
      <w:r w:rsidR="006B394D" w:rsidRPr="006B394D">
        <w:rPr>
          <w:sz w:val="22"/>
          <w:szCs w:val="22"/>
        </w:rPr>
        <w:t xml:space="preserve"> final agreed draft </w:t>
      </w:r>
      <w:r>
        <w:rPr>
          <w:sz w:val="22"/>
          <w:szCs w:val="22"/>
        </w:rPr>
        <w:t xml:space="preserve">is </w:t>
      </w:r>
      <w:r w:rsidR="006B394D" w:rsidRPr="006B394D">
        <w:rPr>
          <w:sz w:val="22"/>
          <w:szCs w:val="22"/>
        </w:rPr>
        <w:t>to be submitted shortly before the Inquiry opens. The final draft must be accompanied by a CIL Compliance Statement. That statement is to set out a fully detailed justification for each obligation sought, detailing how it complies with the CIL Regulations, in particular the test of necessity in terms of how it would mitigate a</w:t>
      </w:r>
      <w:r w:rsidR="007A7FF6">
        <w:rPr>
          <w:sz w:val="22"/>
          <w:szCs w:val="22"/>
        </w:rPr>
        <w:t>ny</w:t>
      </w:r>
      <w:r w:rsidR="006B394D" w:rsidRPr="006B394D">
        <w:rPr>
          <w:sz w:val="22"/>
          <w:szCs w:val="22"/>
        </w:rPr>
        <w:t xml:space="preserve"> </w:t>
      </w:r>
      <w:proofErr w:type="gramStart"/>
      <w:r w:rsidR="006B394D" w:rsidRPr="006B394D">
        <w:rPr>
          <w:sz w:val="22"/>
          <w:szCs w:val="22"/>
        </w:rPr>
        <w:t>particular harm</w:t>
      </w:r>
      <w:proofErr w:type="gramEnd"/>
      <w:r w:rsidR="006B394D" w:rsidRPr="006B394D">
        <w:rPr>
          <w:sz w:val="22"/>
          <w:szCs w:val="22"/>
        </w:rPr>
        <w:t xml:space="preserve"> arising out of the development proposed. It should include reference to any policy support and, in relation to any financial contribution, exactly how it has been calculated and on precisely what it would be spent. </w:t>
      </w:r>
      <w:proofErr w:type="gramStart"/>
      <w:r w:rsidR="006B394D" w:rsidRPr="006B394D">
        <w:rPr>
          <w:sz w:val="22"/>
          <w:szCs w:val="22"/>
        </w:rPr>
        <w:t>With regard to</w:t>
      </w:r>
      <w:proofErr w:type="gramEnd"/>
      <w:r w:rsidR="006B394D" w:rsidRPr="006B394D">
        <w:rPr>
          <w:sz w:val="22"/>
          <w:szCs w:val="22"/>
        </w:rPr>
        <w:t xml:space="preserve"> any financial contributions, whilst the pooling restriction has been rescinded, the Statement will still need to set out whether any relevant schemes are the subject of other financial contributions in order for the Inspector to be able to come to a view as to whether any contribution sought in relation to this appeal is properly justified.</w:t>
      </w:r>
    </w:p>
    <w:p w14:paraId="59AED6FA" w14:textId="206B808C" w:rsidR="003514CB" w:rsidRDefault="003514CB" w:rsidP="008908EB">
      <w:pPr>
        <w:pStyle w:val="Default"/>
        <w:numPr>
          <w:ilvl w:val="0"/>
          <w:numId w:val="1"/>
        </w:numPr>
        <w:spacing w:after="240"/>
        <w:ind w:left="426" w:hanging="426"/>
        <w:rPr>
          <w:sz w:val="22"/>
          <w:szCs w:val="22"/>
        </w:rPr>
      </w:pPr>
      <w:r w:rsidRPr="003514CB">
        <w:rPr>
          <w:sz w:val="22"/>
          <w:szCs w:val="22"/>
        </w:rPr>
        <w:t>A short time will be allowed after the Inquiry for submission of a signed version of the obligation.</w:t>
      </w:r>
    </w:p>
    <w:p w14:paraId="3161535B" w14:textId="3674549E" w:rsidR="003514CB" w:rsidRPr="00495B1D" w:rsidRDefault="00495B1D" w:rsidP="00567A4B">
      <w:pPr>
        <w:pStyle w:val="Default"/>
        <w:spacing w:after="240"/>
        <w:rPr>
          <w:sz w:val="22"/>
          <w:szCs w:val="22"/>
        </w:rPr>
      </w:pPr>
      <w:r>
        <w:rPr>
          <w:b/>
          <w:bCs/>
          <w:sz w:val="22"/>
          <w:szCs w:val="22"/>
        </w:rPr>
        <w:t>Core Documents/Inquiry Documents</w:t>
      </w:r>
    </w:p>
    <w:p w14:paraId="2A4C8825" w14:textId="0236B1B2" w:rsidR="00495B1D" w:rsidRDefault="00495B1D" w:rsidP="008908EB">
      <w:pPr>
        <w:pStyle w:val="Default"/>
        <w:numPr>
          <w:ilvl w:val="0"/>
          <w:numId w:val="1"/>
        </w:numPr>
        <w:spacing w:after="240"/>
        <w:ind w:left="426" w:hanging="426"/>
        <w:rPr>
          <w:sz w:val="22"/>
          <w:szCs w:val="22"/>
        </w:rPr>
      </w:pPr>
      <w:r w:rsidRPr="00495B1D">
        <w:rPr>
          <w:sz w:val="22"/>
          <w:szCs w:val="22"/>
        </w:rPr>
        <w:t>You will need to discuss and agree a list of core documents in advance of preparing your proofs so they can be properly referenced in the proofs. That list is to be co-ordinated by the appellant and must be submitted with the proofs.</w:t>
      </w:r>
      <w:r w:rsidR="0056481E">
        <w:rPr>
          <w:sz w:val="22"/>
          <w:szCs w:val="22"/>
        </w:rPr>
        <w:t xml:space="preserve"> </w:t>
      </w:r>
      <w:r w:rsidRPr="00495B1D">
        <w:rPr>
          <w:sz w:val="22"/>
          <w:szCs w:val="22"/>
        </w:rPr>
        <w:t>A template for that list is attached.</w:t>
      </w:r>
    </w:p>
    <w:p w14:paraId="69D21E4F" w14:textId="01E72497" w:rsidR="00495B1D" w:rsidRDefault="009846AE" w:rsidP="008908EB">
      <w:pPr>
        <w:pStyle w:val="Default"/>
        <w:numPr>
          <w:ilvl w:val="0"/>
          <w:numId w:val="1"/>
        </w:numPr>
        <w:spacing w:after="240"/>
        <w:ind w:left="426" w:hanging="426"/>
        <w:rPr>
          <w:sz w:val="22"/>
          <w:szCs w:val="22"/>
        </w:rPr>
      </w:pPr>
      <w:r w:rsidRPr="009846AE">
        <w:rPr>
          <w:sz w:val="22"/>
          <w:szCs w:val="22"/>
        </w:rPr>
        <w:t>The Core Documents should comprise only those documents to which you will be referring and do not need to include a copy of the National Planning Policy Framework or deal with areas where there is no dispute. Any Appeal Decisions and/or legal authorities on which any party intends to rely will need to be prefaced with a note explaining the relevance of the document to the issues arising in the Inquiry case, together with the propositions on which you are seeking to rely, with the relevant paragraphs flagged up.</w:t>
      </w:r>
    </w:p>
    <w:p w14:paraId="29730446" w14:textId="5E93FA99" w:rsidR="009846AE" w:rsidRDefault="009846AE" w:rsidP="008908EB">
      <w:pPr>
        <w:pStyle w:val="Default"/>
        <w:numPr>
          <w:ilvl w:val="0"/>
          <w:numId w:val="1"/>
        </w:numPr>
        <w:spacing w:after="240"/>
        <w:ind w:left="426" w:hanging="426"/>
        <w:rPr>
          <w:sz w:val="22"/>
          <w:szCs w:val="22"/>
        </w:rPr>
      </w:pPr>
      <w:r w:rsidRPr="009846AE">
        <w:rPr>
          <w:sz w:val="22"/>
          <w:szCs w:val="22"/>
        </w:rPr>
        <w:t>Where any documents on which it is intended to rely are lengthy, only relevant extracts need to be supplied, as opposed to the whole document. Such extracts should, however, be prefaced with the front cover of the relevant document and include any accompanying relevant contextual text.</w:t>
      </w:r>
    </w:p>
    <w:p w14:paraId="6C3B97DF" w14:textId="77777777" w:rsidR="000421CB" w:rsidRDefault="000421CB" w:rsidP="008908EB">
      <w:pPr>
        <w:pStyle w:val="Default"/>
        <w:numPr>
          <w:ilvl w:val="0"/>
          <w:numId w:val="1"/>
        </w:numPr>
        <w:spacing w:after="240"/>
        <w:ind w:left="426" w:hanging="426"/>
        <w:rPr>
          <w:sz w:val="22"/>
          <w:szCs w:val="22"/>
        </w:rPr>
      </w:pPr>
      <w:r>
        <w:rPr>
          <w:sz w:val="22"/>
          <w:szCs w:val="22"/>
        </w:rPr>
        <w:t xml:space="preserve">The Inspector intends to access the core documents electronically, but will need a hardcopy set of proofs, </w:t>
      </w:r>
      <w:proofErr w:type="gramStart"/>
      <w:r>
        <w:rPr>
          <w:sz w:val="22"/>
          <w:szCs w:val="22"/>
        </w:rPr>
        <w:t>appendices</w:t>
      </w:r>
      <w:proofErr w:type="gramEnd"/>
      <w:r>
        <w:rPr>
          <w:sz w:val="22"/>
          <w:szCs w:val="22"/>
        </w:rPr>
        <w:t xml:space="preserve"> and any rebuttal statements as well as the core document list.</w:t>
      </w:r>
    </w:p>
    <w:p w14:paraId="103256A3" w14:textId="3914FAA9" w:rsidR="009846AE" w:rsidRDefault="00975D9B" w:rsidP="008908EB">
      <w:pPr>
        <w:pStyle w:val="Default"/>
        <w:numPr>
          <w:ilvl w:val="0"/>
          <w:numId w:val="1"/>
        </w:numPr>
        <w:spacing w:after="240"/>
        <w:ind w:left="426" w:hanging="426"/>
        <w:rPr>
          <w:sz w:val="22"/>
          <w:szCs w:val="22"/>
        </w:rPr>
      </w:pPr>
      <w:r w:rsidRPr="00975D9B">
        <w:rPr>
          <w:sz w:val="22"/>
          <w:szCs w:val="22"/>
        </w:rPr>
        <w:t xml:space="preserve">The appellant </w:t>
      </w:r>
      <w:r w:rsidR="00D55101">
        <w:rPr>
          <w:sz w:val="22"/>
          <w:szCs w:val="22"/>
        </w:rPr>
        <w:t>is to</w:t>
      </w:r>
      <w:r w:rsidRPr="00975D9B">
        <w:rPr>
          <w:sz w:val="22"/>
          <w:szCs w:val="22"/>
        </w:rPr>
        <w:t xml:space="preserve"> supply a hard copy set of the Core Documents on Inquiry opening to form an Inquiry library, which can be accessed by interested parties at the event. The Council will </w:t>
      </w:r>
      <w:r w:rsidR="002B53AB">
        <w:rPr>
          <w:sz w:val="22"/>
          <w:szCs w:val="22"/>
        </w:rPr>
        <w:t>host the virtual core document library on their website.</w:t>
      </w:r>
      <w:r w:rsidR="00FC4A11">
        <w:rPr>
          <w:sz w:val="22"/>
          <w:szCs w:val="22"/>
        </w:rPr>
        <w:t xml:space="preserve"> The Inspector </w:t>
      </w:r>
      <w:r w:rsidR="004E34BA">
        <w:rPr>
          <w:sz w:val="22"/>
          <w:szCs w:val="22"/>
        </w:rPr>
        <w:t xml:space="preserve">is to </w:t>
      </w:r>
      <w:r w:rsidRPr="00975D9B">
        <w:rPr>
          <w:sz w:val="22"/>
          <w:szCs w:val="22"/>
        </w:rPr>
        <w:t xml:space="preserve">be provided with an electronic set of the </w:t>
      </w:r>
      <w:r w:rsidR="000C6B97">
        <w:rPr>
          <w:sz w:val="22"/>
          <w:szCs w:val="22"/>
        </w:rPr>
        <w:t xml:space="preserve">core </w:t>
      </w:r>
      <w:r w:rsidRPr="00975D9B">
        <w:rPr>
          <w:sz w:val="22"/>
          <w:szCs w:val="22"/>
        </w:rPr>
        <w:t xml:space="preserve">documents and it will be for </w:t>
      </w:r>
      <w:r w:rsidR="000C6B97">
        <w:rPr>
          <w:sz w:val="22"/>
          <w:szCs w:val="22"/>
        </w:rPr>
        <w:t xml:space="preserve">the Council </w:t>
      </w:r>
      <w:r w:rsidRPr="00975D9B">
        <w:rPr>
          <w:sz w:val="22"/>
          <w:szCs w:val="22"/>
        </w:rPr>
        <w:t>to print out what elements it needs in hard copy.</w:t>
      </w:r>
    </w:p>
    <w:p w14:paraId="118D88FE" w14:textId="513098E5" w:rsidR="00975D9B" w:rsidRDefault="00975D9B" w:rsidP="008908EB">
      <w:pPr>
        <w:pStyle w:val="Default"/>
        <w:numPr>
          <w:ilvl w:val="0"/>
          <w:numId w:val="1"/>
        </w:numPr>
        <w:spacing w:after="240"/>
        <w:ind w:left="426" w:hanging="426"/>
        <w:rPr>
          <w:sz w:val="22"/>
          <w:szCs w:val="22"/>
        </w:rPr>
      </w:pPr>
      <w:r w:rsidRPr="00975D9B">
        <w:rPr>
          <w:sz w:val="22"/>
          <w:szCs w:val="22"/>
        </w:rPr>
        <w:t>A minimum of t</w:t>
      </w:r>
      <w:r w:rsidR="00BB69A1">
        <w:rPr>
          <w:sz w:val="22"/>
          <w:szCs w:val="22"/>
        </w:rPr>
        <w:t>wo</w:t>
      </w:r>
      <w:r w:rsidRPr="00975D9B">
        <w:rPr>
          <w:sz w:val="22"/>
          <w:szCs w:val="22"/>
        </w:rPr>
        <w:t xml:space="preserve"> copies of any new documents produced at the Inquiry will be required - one for the other main party</w:t>
      </w:r>
      <w:r w:rsidR="00BB69A1">
        <w:rPr>
          <w:sz w:val="22"/>
          <w:szCs w:val="22"/>
        </w:rPr>
        <w:t xml:space="preserve"> </w:t>
      </w:r>
      <w:r w:rsidRPr="00975D9B">
        <w:rPr>
          <w:sz w:val="22"/>
          <w:szCs w:val="22"/>
        </w:rPr>
        <w:t>and one for the Inspector. - with extra copies to be made available to assist interested parties if necessary.</w:t>
      </w:r>
    </w:p>
    <w:p w14:paraId="503F20CB" w14:textId="7962FF0C" w:rsidR="0004526E" w:rsidRDefault="0004526E" w:rsidP="008908EB">
      <w:pPr>
        <w:pStyle w:val="Default"/>
        <w:numPr>
          <w:ilvl w:val="0"/>
          <w:numId w:val="1"/>
        </w:numPr>
        <w:spacing w:after="240"/>
        <w:ind w:left="426" w:hanging="426"/>
        <w:rPr>
          <w:sz w:val="22"/>
          <w:szCs w:val="22"/>
        </w:rPr>
      </w:pPr>
      <w:r>
        <w:rPr>
          <w:sz w:val="22"/>
          <w:szCs w:val="22"/>
        </w:rPr>
        <w:t xml:space="preserve">The </w:t>
      </w:r>
      <w:r w:rsidR="00E21D76">
        <w:rPr>
          <w:sz w:val="22"/>
          <w:szCs w:val="22"/>
        </w:rPr>
        <w:t xml:space="preserve">following </w:t>
      </w:r>
      <w:r>
        <w:rPr>
          <w:sz w:val="22"/>
          <w:szCs w:val="22"/>
        </w:rPr>
        <w:t>two updated drawings</w:t>
      </w:r>
      <w:r w:rsidR="00F90D43">
        <w:rPr>
          <w:sz w:val="22"/>
          <w:szCs w:val="22"/>
        </w:rPr>
        <w:t xml:space="preserve"> were submitted</w:t>
      </w:r>
      <w:r w:rsidR="005E7F76">
        <w:rPr>
          <w:sz w:val="22"/>
          <w:szCs w:val="22"/>
        </w:rPr>
        <w:t xml:space="preserve"> during the appeal</w:t>
      </w:r>
      <w:r w:rsidR="00B57544">
        <w:rPr>
          <w:sz w:val="22"/>
          <w:szCs w:val="22"/>
        </w:rPr>
        <w:t xml:space="preserve">: </w:t>
      </w:r>
    </w:p>
    <w:p w14:paraId="7D3FC7E4" w14:textId="11D20462" w:rsidR="00E53E7A" w:rsidRPr="00E53E7A" w:rsidRDefault="00E53E7A" w:rsidP="00E53E7A">
      <w:pPr>
        <w:pStyle w:val="Default"/>
        <w:numPr>
          <w:ilvl w:val="0"/>
          <w:numId w:val="7"/>
        </w:numPr>
        <w:spacing w:after="240"/>
        <w:rPr>
          <w:sz w:val="22"/>
          <w:szCs w:val="22"/>
        </w:rPr>
      </w:pPr>
      <w:r w:rsidRPr="00E53E7A">
        <w:rPr>
          <w:sz w:val="22"/>
          <w:szCs w:val="22"/>
        </w:rPr>
        <w:lastRenderedPageBreak/>
        <w:t>Site Location Plan (P20-3155 001 01 Rev: C) - superseding Site Location Plan (P20-3155 001 01)</w:t>
      </w:r>
      <w:r w:rsidR="00235DA4">
        <w:rPr>
          <w:sz w:val="22"/>
          <w:szCs w:val="22"/>
        </w:rPr>
        <w:t>; and</w:t>
      </w:r>
    </w:p>
    <w:p w14:paraId="12E4701D" w14:textId="26A57C20" w:rsidR="00E53E7A" w:rsidRPr="00E53E7A" w:rsidRDefault="00E53E7A" w:rsidP="00E53E7A">
      <w:pPr>
        <w:pStyle w:val="Default"/>
        <w:numPr>
          <w:ilvl w:val="0"/>
          <w:numId w:val="7"/>
        </w:numPr>
        <w:spacing w:after="240"/>
        <w:rPr>
          <w:sz w:val="22"/>
          <w:szCs w:val="22"/>
        </w:rPr>
      </w:pPr>
      <w:r w:rsidRPr="00E53E7A">
        <w:rPr>
          <w:sz w:val="22"/>
          <w:szCs w:val="22"/>
        </w:rPr>
        <w:t>Concept Masterplan (P20-3155 003 01 Rev: H) - superseding Concept Masterplan (P20-3155 003 01 F)</w:t>
      </w:r>
      <w:r w:rsidR="00E21D76">
        <w:rPr>
          <w:sz w:val="22"/>
          <w:szCs w:val="22"/>
        </w:rPr>
        <w:t>.</w:t>
      </w:r>
    </w:p>
    <w:p w14:paraId="457837A8" w14:textId="460974DD" w:rsidR="00E53E7A" w:rsidRPr="006E77C9" w:rsidRDefault="00F37938" w:rsidP="00D94F57">
      <w:pPr>
        <w:pStyle w:val="Default"/>
        <w:numPr>
          <w:ilvl w:val="0"/>
          <w:numId w:val="1"/>
        </w:numPr>
        <w:spacing w:after="240"/>
        <w:rPr>
          <w:sz w:val="22"/>
          <w:szCs w:val="22"/>
        </w:rPr>
      </w:pPr>
      <w:r w:rsidRPr="006E77C9">
        <w:rPr>
          <w:sz w:val="22"/>
          <w:szCs w:val="22"/>
        </w:rPr>
        <w:t xml:space="preserve">As the changes include a minor alteration of the red line boundary and </w:t>
      </w:r>
      <w:r w:rsidR="006E58AF" w:rsidRPr="006E77C9">
        <w:rPr>
          <w:sz w:val="22"/>
          <w:szCs w:val="22"/>
        </w:rPr>
        <w:t xml:space="preserve">changes to an illustrative </w:t>
      </w:r>
      <w:r w:rsidR="006E77C9" w:rsidRPr="006E77C9">
        <w:rPr>
          <w:sz w:val="22"/>
          <w:szCs w:val="22"/>
        </w:rPr>
        <w:t xml:space="preserve">masterplan, they </w:t>
      </w:r>
      <w:r w:rsidR="00235DA4" w:rsidRPr="006E77C9">
        <w:rPr>
          <w:sz w:val="22"/>
          <w:szCs w:val="22"/>
        </w:rPr>
        <w:t>would not fundamentally alter the proposal</w:t>
      </w:r>
      <w:r w:rsidR="00235DA4">
        <w:rPr>
          <w:sz w:val="22"/>
          <w:szCs w:val="22"/>
        </w:rPr>
        <w:t xml:space="preserve"> and </w:t>
      </w:r>
      <w:r w:rsidR="006E77C9" w:rsidRPr="006E77C9">
        <w:rPr>
          <w:sz w:val="22"/>
          <w:szCs w:val="22"/>
        </w:rPr>
        <w:t>would not prejudice the interests of interested parties.</w:t>
      </w:r>
      <w:r w:rsidR="00162CF8">
        <w:rPr>
          <w:sz w:val="22"/>
          <w:szCs w:val="22"/>
        </w:rPr>
        <w:t xml:space="preserve"> Therefore, I accept the plans and </w:t>
      </w:r>
      <w:r w:rsidR="00A914D7">
        <w:rPr>
          <w:sz w:val="22"/>
          <w:szCs w:val="22"/>
        </w:rPr>
        <w:t>do not consider that re-consultation is necessary.</w:t>
      </w:r>
    </w:p>
    <w:p w14:paraId="3315ECFE" w14:textId="6B318CB6" w:rsidR="00163E0A" w:rsidRPr="00163E0A" w:rsidRDefault="00163E0A" w:rsidP="00163E0A">
      <w:pPr>
        <w:pStyle w:val="Default"/>
        <w:spacing w:after="240"/>
        <w:rPr>
          <w:sz w:val="22"/>
          <w:szCs w:val="22"/>
        </w:rPr>
      </w:pPr>
      <w:r>
        <w:rPr>
          <w:b/>
          <w:bCs/>
          <w:sz w:val="22"/>
          <w:szCs w:val="22"/>
        </w:rPr>
        <w:t>Inquiry Running Order</w:t>
      </w:r>
    </w:p>
    <w:p w14:paraId="7E06A0D0" w14:textId="5928F60C" w:rsidR="002D2B01" w:rsidRPr="002D2B01" w:rsidRDefault="0038661A" w:rsidP="002D2B01">
      <w:pPr>
        <w:pStyle w:val="Default"/>
        <w:numPr>
          <w:ilvl w:val="0"/>
          <w:numId w:val="1"/>
        </w:numPr>
        <w:spacing w:after="240"/>
        <w:ind w:left="426" w:hanging="426"/>
        <w:rPr>
          <w:sz w:val="22"/>
          <w:szCs w:val="22"/>
        </w:rPr>
      </w:pPr>
      <w:r w:rsidRPr="0038661A">
        <w:rPr>
          <w:sz w:val="22"/>
          <w:szCs w:val="22"/>
        </w:rPr>
        <w:t xml:space="preserve">In general, the Inquiry is expected to finish each day no later than around 17.00 hours and, will resume on </w:t>
      </w:r>
      <w:r w:rsidR="00BB69A1">
        <w:rPr>
          <w:sz w:val="22"/>
          <w:szCs w:val="22"/>
        </w:rPr>
        <w:t>the second</w:t>
      </w:r>
      <w:r w:rsidRPr="0038661A">
        <w:rPr>
          <w:sz w:val="22"/>
          <w:szCs w:val="22"/>
        </w:rPr>
        <w:t xml:space="preserve"> day at 09.30 hours.</w:t>
      </w:r>
    </w:p>
    <w:p w14:paraId="3492E3D1" w14:textId="0DF0DD93" w:rsidR="00163E0A" w:rsidRDefault="0038661A" w:rsidP="00567A4B">
      <w:pPr>
        <w:pStyle w:val="Default"/>
        <w:numPr>
          <w:ilvl w:val="0"/>
          <w:numId w:val="1"/>
        </w:numPr>
        <w:spacing w:after="240"/>
        <w:ind w:left="426" w:hanging="426"/>
        <w:rPr>
          <w:sz w:val="22"/>
          <w:szCs w:val="22"/>
        </w:rPr>
      </w:pPr>
      <w:r w:rsidRPr="0038661A">
        <w:rPr>
          <w:sz w:val="22"/>
          <w:szCs w:val="22"/>
        </w:rPr>
        <w:t>In terms of running order, following the Inspector’s opening comments on the first day of the Inquiry, she will invite opening statements from the main parties (appellant first, followed by the Council) which will set the scene. She will then hear from any interested parties who wish to speak, which often suits those who have taken time out from work, or who may have other commitments.</w:t>
      </w:r>
    </w:p>
    <w:p w14:paraId="43A0CE49" w14:textId="4DF78D0C" w:rsidR="00535D7E" w:rsidRDefault="00F71D79" w:rsidP="00567A4B">
      <w:pPr>
        <w:pStyle w:val="Default"/>
        <w:numPr>
          <w:ilvl w:val="0"/>
          <w:numId w:val="1"/>
        </w:numPr>
        <w:spacing w:after="240"/>
        <w:ind w:left="426" w:hanging="426"/>
        <w:rPr>
          <w:sz w:val="22"/>
          <w:szCs w:val="22"/>
        </w:rPr>
      </w:pPr>
      <w:r w:rsidRPr="00F71D79">
        <w:rPr>
          <w:sz w:val="22"/>
          <w:szCs w:val="22"/>
        </w:rPr>
        <w:t xml:space="preserve">The </w:t>
      </w:r>
      <w:r w:rsidR="00087EB4">
        <w:rPr>
          <w:sz w:val="22"/>
          <w:szCs w:val="22"/>
        </w:rPr>
        <w:t>main issues</w:t>
      </w:r>
      <w:r w:rsidR="00535D7E" w:rsidRPr="00535D7E">
        <w:rPr>
          <w:sz w:val="22"/>
          <w:szCs w:val="22"/>
        </w:rPr>
        <w:t xml:space="preserve">, </w:t>
      </w:r>
      <w:r w:rsidR="00087EB4">
        <w:rPr>
          <w:sz w:val="22"/>
          <w:szCs w:val="22"/>
        </w:rPr>
        <w:t xml:space="preserve">including </w:t>
      </w:r>
      <w:r w:rsidR="00535D7E" w:rsidRPr="00535D7E">
        <w:rPr>
          <w:sz w:val="22"/>
          <w:szCs w:val="22"/>
        </w:rPr>
        <w:t xml:space="preserve">any benefits to be weighed in the planning balance, any implications of not proceeding with the scheme, and the overall planning balance will be dealt with through </w:t>
      </w:r>
      <w:r w:rsidR="00087EB4">
        <w:rPr>
          <w:sz w:val="22"/>
          <w:szCs w:val="22"/>
        </w:rPr>
        <w:t>round table sessions</w:t>
      </w:r>
      <w:r w:rsidR="00535D7E" w:rsidRPr="00535D7E">
        <w:rPr>
          <w:sz w:val="22"/>
          <w:szCs w:val="22"/>
        </w:rPr>
        <w:t>. The appellant’s evidence should also address any other matters raised by interested parties at application and appeal stage.</w:t>
      </w:r>
    </w:p>
    <w:p w14:paraId="0204F45E" w14:textId="2CEAEA4A" w:rsidR="00F71D79" w:rsidRPr="00564D9B" w:rsidRDefault="005E6DA5" w:rsidP="00567A4B">
      <w:pPr>
        <w:pStyle w:val="Default"/>
        <w:numPr>
          <w:ilvl w:val="0"/>
          <w:numId w:val="1"/>
        </w:numPr>
        <w:spacing w:after="240"/>
        <w:ind w:left="426" w:hanging="426"/>
        <w:rPr>
          <w:sz w:val="22"/>
          <w:szCs w:val="22"/>
        </w:rPr>
      </w:pPr>
      <w:r>
        <w:rPr>
          <w:sz w:val="22"/>
          <w:szCs w:val="22"/>
        </w:rPr>
        <w:t xml:space="preserve"> </w:t>
      </w:r>
      <w:r w:rsidR="00BA332B" w:rsidRPr="00BA332B">
        <w:rPr>
          <w:sz w:val="22"/>
          <w:szCs w:val="22"/>
        </w:rPr>
        <w:t>On conclusion of that, the Inspector will lead the usual round table discussion on conditions and provisions of the planning obligation. That will be followed by closing submissions (Council</w:t>
      </w:r>
      <w:r w:rsidR="00854886">
        <w:rPr>
          <w:sz w:val="22"/>
          <w:szCs w:val="22"/>
        </w:rPr>
        <w:t xml:space="preserve"> first</w:t>
      </w:r>
      <w:r w:rsidR="00BA332B" w:rsidRPr="00BA332B">
        <w:rPr>
          <w:sz w:val="22"/>
          <w:szCs w:val="22"/>
        </w:rPr>
        <w:t xml:space="preserve">, </w:t>
      </w:r>
      <w:r w:rsidR="002F0602">
        <w:rPr>
          <w:sz w:val="22"/>
          <w:szCs w:val="22"/>
        </w:rPr>
        <w:t xml:space="preserve">then the </w:t>
      </w:r>
      <w:r w:rsidR="00BA332B" w:rsidRPr="00BA332B">
        <w:rPr>
          <w:sz w:val="22"/>
          <w:szCs w:val="22"/>
        </w:rPr>
        <w:t xml:space="preserve">appellant) which should set out your respective cases as they stand at the end of the Inquiry, with a written copy handed up at the time, appropriately cross-referenced </w:t>
      </w:r>
      <w:r w:rsidR="00BA332B" w:rsidRPr="00564D9B">
        <w:rPr>
          <w:sz w:val="22"/>
          <w:szCs w:val="22"/>
        </w:rPr>
        <w:t>where evidence is relied on, for the avoidance of doubt.</w:t>
      </w:r>
    </w:p>
    <w:p w14:paraId="4881AB9C" w14:textId="367AA1A8" w:rsidR="00785105" w:rsidRPr="00564D9B" w:rsidRDefault="000F3985" w:rsidP="00567A4B">
      <w:pPr>
        <w:pStyle w:val="Default"/>
        <w:numPr>
          <w:ilvl w:val="0"/>
          <w:numId w:val="1"/>
        </w:numPr>
        <w:spacing w:after="240"/>
        <w:ind w:left="426" w:hanging="426"/>
        <w:rPr>
          <w:sz w:val="22"/>
          <w:szCs w:val="22"/>
        </w:rPr>
      </w:pPr>
      <w:r w:rsidRPr="00564D9B">
        <w:rPr>
          <w:sz w:val="22"/>
          <w:szCs w:val="22"/>
        </w:rPr>
        <w:t xml:space="preserve">The Inspector will carry out a site visit either after the Inquiry has closed, or before if an appropriate opportunity presents itself </w:t>
      </w:r>
      <w:r w:rsidR="008F071A">
        <w:rPr>
          <w:sz w:val="22"/>
          <w:szCs w:val="22"/>
        </w:rPr>
        <w:t>during the Inquiry</w:t>
      </w:r>
      <w:r w:rsidRPr="00564D9B">
        <w:rPr>
          <w:sz w:val="22"/>
          <w:szCs w:val="22"/>
        </w:rPr>
        <w:t>. Whenever it takes place, its purpose is simply for her to see the site and its</w:t>
      </w:r>
      <w:r w:rsidR="009A04B8" w:rsidRPr="00567A4B">
        <w:rPr>
          <w:sz w:val="22"/>
          <w:szCs w:val="22"/>
        </w:rPr>
        <w:t xml:space="preserve"> </w:t>
      </w:r>
      <w:r w:rsidR="009A04B8" w:rsidRPr="00564D9B">
        <w:rPr>
          <w:sz w:val="22"/>
          <w:szCs w:val="22"/>
        </w:rPr>
        <w:t xml:space="preserve">surroundings. She cannot listen to any representations/discussion/arguments during the visit, but parties can point out physical features, so it is important that you give some thought as to where you wish her to see the site from. </w:t>
      </w:r>
    </w:p>
    <w:p w14:paraId="1946BB15" w14:textId="5BCBD9CC" w:rsidR="009A04B8" w:rsidRPr="00564D9B" w:rsidRDefault="009A04B8" w:rsidP="00567A4B">
      <w:pPr>
        <w:pStyle w:val="Default"/>
        <w:spacing w:after="240"/>
        <w:rPr>
          <w:b/>
          <w:bCs/>
          <w:sz w:val="22"/>
          <w:szCs w:val="22"/>
        </w:rPr>
      </w:pPr>
      <w:r w:rsidRPr="00564D9B">
        <w:rPr>
          <w:b/>
          <w:bCs/>
          <w:sz w:val="22"/>
          <w:szCs w:val="22"/>
        </w:rPr>
        <w:t>Document Submission Dates</w:t>
      </w:r>
    </w:p>
    <w:p w14:paraId="4588C982" w14:textId="77777777" w:rsidR="00877B35" w:rsidRDefault="00547048" w:rsidP="00567A4B">
      <w:pPr>
        <w:pStyle w:val="Default"/>
        <w:numPr>
          <w:ilvl w:val="0"/>
          <w:numId w:val="1"/>
        </w:numPr>
        <w:spacing w:after="240"/>
        <w:ind w:left="426" w:hanging="426"/>
        <w:rPr>
          <w:sz w:val="22"/>
          <w:szCs w:val="22"/>
        </w:rPr>
      </w:pPr>
      <w:r w:rsidRPr="00564D9B">
        <w:rPr>
          <w:sz w:val="22"/>
          <w:szCs w:val="22"/>
        </w:rPr>
        <w:t xml:space="preserve">As set out in the start letter, all proofs are to be submitted no later than </w:t>
      </w:r>
      <w:r w:rsidR="00E85795" w:rsidRPr="00A848B2">
        <w:rPr>
          <w:b/>
          <w:bCs/>
          <w:sz w:val="22"/>
          <w:szCs w:val="22"/>
        </w:rPr>
        <w:t>17th October</w:t>
      </w:r>
      <w:r w:rsidRPr="00564D9B">
        <w:rPr>
          <w:sz w:val="22"/>
          <w:szCs w:val="22"/>
        </w:rPr>
        <w:t xml:space="preserve">. Details of the preferred format and content of proofs and other material were </w:t>
      </w:r>
      <w:r w:rsidR="007A7D3B" w:rsidRPr="00564D9B">
        <w:rPr>
          <w:sz w:val="22"/>
          <w:szCs w:val="22"/>
        </w:rPr>
        <w:t>Annexed</w:t>
      </w:r>
      <w:r w:rsidRPr="00564D9B">
        <w:rPr>
          <w:sz w:val="22"/>
          <w:szCs w:val="22"/>
        </w:rPr>
        <w:t xml:space="preserve"> to the pre-conference note. </w:t>
      </w:r>
    </w:p>
    <w:p w14:paraId="4366B6AA" w14:textId="77777777" w:rsidR="00E204CA" w:rsidRDefault="00877B35" w:rsidP="00567A4B">
      <w:pPr>
        <w:pStyle w:val="Default"/>
        <w:numPr>
          <w:ilvl w:val="0"/>
          <w:numId w:val="1"/>
        </w:numPr>
        <w:spacing w:after="240"/>
        <w:ind w:left="426" w:hanging="426"/>
        <w:rPr>
          <w:sz w:val="22"/>
          <w:szCs w:val="22"/>
        </w:rPr>
      </w:pPr>
      <w:r>
        <w:rPr>
          <w:sz w:val="22"/>
          <w:szCs w:val="22"/>
        </w:rPr>
        <w:t xml:space="preserve">As discussed during the conference, it </w:t>
      </w:r>
      <w:r w:rsidR="008C43BD">
        <w:rPr>
          <w:sz w:val="22"/>
          <w:szCs w:val="22"/>
        </w:rPr>
        <w:t>is anticipated that Leicestershire County Council would prov</w:t>
      </w:r>
      <w:r w:rsidR="00495EEE">
        <w:rPr>
          <w:sz w:val="22"/>
          <w:szCs w:val="22"/>
        </w:rPr>
        <w:t xml:space="preserve">ide an updated CIL Compliance Statement </w:t>
      </w:r>
      <w:r w:rsidR="00882559">
        <w:rPr>
          <w:sz w:val="22"/>
          <w:szCs w:val="22"/>
        </w:rPr>
        <w:t>to allow Charnwood Borough Council to review their position by Friday 6</w:t>
      </w:r>
      <w:r w:rsidR="00882559" w:rsidRPr="00882559">
        <w:rPr>
          <w:sz w:val="22"/>
          <w:szCs w:val="22"/>
          <w:vertAlign w:val="superscript"/>
        </w:rPr>
        <w:t>th</w:t>
      </w:r>
      <w:r w:rsidR="00882559">
        <w:rPr>
          <w:sz w:val="22"/>
          <w:szCs w:val="22"/>
        </w:rPr>
        <w:t xml:space="preserve"> October. </w:t>
      </w:r>
    </w:p>
    <w:p w14:paraId="68B072B1" w14:textId="56780929" w:rsidR="009A04B8" w:rsidRPr="00564D9B" w:rsidRDefault="00547048" w:rsidP="00567A4B">
      <w:pPr>
        <w:pStyle w:val="Default"/>
        <w:numPr>
          <w:ilvl w:val="0"/>
          <w:numId w:val="1"/>
        </w:numPr>
        <w:spacing w:after="240"/>
        <w:ind w:left="426" w:hanging="426"/>
        <w:rPr>
          <w:sz w:val="22"/>
          <w:szCs w:val="22"/>
        </w:rPr>
      </w:pPr>
      <w:r w:rsidRPr="00564D9B">
        <w:rPr>
          <w:sz w:val="22"/>
          <w:szCs w:val="22"/>
        </w:rPr>
        <w:t>The</w:t>
      </w:r>
      <w:r w:rsidR="006C28B0">
        <w:rPr>
          <w:sz w:val="22"/>
          <w:szCs w:val="22"/>
        </w:rPr>
        <w:t>refore, the</w:t>
      </w:r>
      <w:r w:rsidRPr="00564D9B">
        <w:rPr>
          <w:sz w:val="22"/>
          <w:szCs w:val="22"/>
        </w:rPr>
        <w:t xml:space="preserve"> </w:t>
      </w:r>
      <w:r w:rsidR="00E85795">
        <w:rPr>
          <w:sz w:val="22"/>
          <w:szCs w:val="22"/>
        </w:rPr>
        <w:t>updated</w:t>
      </w:r>
      <w:r w:rsidRPr="00564D9B">
        <w:rPr>
          <w:sz w:val="22"/>
          <w:szCs w:val="22"/>
        </w:rPr>
        <w:t xml:space="preserve"> statement of common ground, which should also inform your proofs, </w:t>
      </w:r>
      <w:r w:rsidR="00A84764">
        <w:rPr>
          <w:sz w:val="22"/>
          <w:szCs w:val="22"/>
        </w:rPr>
        <w:t>is</w:t>
      </w:r>
      <w:r w:rsidRPr="00564D9B">
        <w:rPr>
          <w:sz w:val="22"/>
          <w:szCs w:val="22"/>
        </w:rPr>
        <w:t xml:space="preserve"> to be submitted at the same time (</w:t>
      </w:r>
      <w:r w:rsidR="00E85795" w:rsidRPr="00A848B2">
        <w:rPr>
          <w:b/>
          <w:bCs/>
          <w:sz w:val="22"/>
          <w:szCs w:val="22"/>
        </w:rPr>
        <w:t>17th October</w:t>
      </w:r>
      <w:r w:rsidRPr="00564D9B">
        <w:rPr>
          <w:sz w:val="22"/>
          <w:szCs w:val="22"/>
        </w:rPr>
        <w:t>).</w:t>
      </w:r>
    </w:p>
    <w:p w14:paraId="3B4947B9" w14:textId="75855D9D" w:rsidR="00742F56" w:rsidRPr="00742F56" w:rsidRDefault="00742F56" w:rsidP="00567A4B">
      <w:pPr>
        <w:pStyle w:val="Default"/>
        <w:numPr>
          <w:ilvl w:val="0"/>
          <w:numId w:val="1"/>
        </w:numPr>
        <w:spacing w:after="240"/>
        <w:ind w:left="426" w:hanging="426"/>
        <w:rPr>
          <w:sz w:val="22"/>
          <w:szCs w:val="22"/>
        </w:rPr>
      </w:pPr>
      <w:r w:rsidRPr="00742F56">
        <w:rPr>
          <w:sz w:val="22"/>
          <w:szCs w:val="22"/>
        </w:rPr>
        <w:t>The latest draft of the proposed planning obligation is also to be submitted at the same time as the proofs (</w:t>
      </w:r>
      <w:r w:rsidR="004329B4" w:rsidRPr="00A848B2">
        <w:rPr>
          <w:b/>
          <w:bCs/>
          <w:sz w:val="22"/>
          <w:szCs w:val="22"/>
        </w:rPr>
        <w:t>17th October</w:t>
      </w:r>
      <w:r w:rsidRPr="00742F56">
        <w:rPr>
          <w:sz w:val="22"/>
          <w:szCs w:val="22"/>
        </w:rPr>
        <w:t xml:space="preserve">) with a final draft no later than </w:t>
      </w:r>
      <w:r w:rsidR="00A656A0" w:rsidRPr="007E5F6A">
        <w:rPr>
          <w:b/>
          <w:bCs/>
          <w:sz w:val="22"/>
          <w:szCs w:val="22"/>
        </w:rPr>
        <w:t>2</w:t>
      </w:r>
      <w:r w:rsidR="00A656A0">
        <w:rPr>
          <w:b/>
          <w:bCs/>
          <w:sz w:val="22"/>
          <w:szCs w:val="22"/>
        </w:rPr>
        <w:t>4</w:t>
      </w:r>
      <w:r w:rsidR="00A656A0" w:rsidRPr="007E5F6A">
        <w:rPr>
          <w:b/>
          <w:bCs/>
          <w:sz w:val="22"/>
          <w:szCs w:val="22"/>
        </w:rPr>
        <w:t xml:space="preserve"> </w:t>
      </w:r>
      <w:r w:rsidR="00A656A0">
        <w:rPr>
          <w:b/>
          <w:bCs/>
          <w:sz w:val="22"/>
          <w:szCs w:val="22"/>
        </w:rPr>
        <w:t>October</w:t>
      </w:r>
      <w:r w:rsidR="00A656A0" w:rsidRPr="00742F56">
        <w:rPr>
          <w:sz w:val="22"/>
          <w:szCs w:val="22"/>
        </w:rPr>
        <w:t xml:space="preserve"> </w:t>
      </w:r>
      <w:r w:rsidRPr="00742F56">
        <w:rPr>
          <w:sz w:val="22"/>
          <w:szCs w:val="22"/>
        </w:rPr>
        <w:t>to be accompanied by the CIL Compliance Statement prepared by the Council and the relevant office copy entries.</w:t>
      </w:r>
    </w:p>
    <w:p w14:paraId="05516372" w14:textId="49A2050D" w:rsidR="00742F56" w:rsidRPr="00742F56" w:rsidRDefault="00742F56" w:rsidP="00567A4B">
      <w:pPr>
        <w:pStyle w:val="Default"/>
        <w:numPr>
          <w:ilvl w:val="0"/>
          <w:numId w:val="1"/>
        </w:numPr>
        <w:spacing w:after="240"/>
        <w:ind w:left="426" w:hanging="426"/>
        <w:rPr>
          <w:sz w:val="22"/>
          <w:szCs w:val="22"/>
        </w:rPr>
      </w:pPr>
      <w:r w:rsidRPr="00742F56">
        <w:rPr>
          <w:sz w:val="22"/>
          <w:szCs w:val="22"/>
        </w:rPr>
        <w:t xml:space="preserve">The Council is to make sure a copy of the notification letter setting out details of the Inquiry, and a list of those notified is sent in to PINS no later than </w:t>
      </w:r>
      <w:r w:rsidR="00A656A0" w:rsidRPr="007E5F6A">
        <w:rPr>
          <w:b/>
          <w:bCs/>
          <w:sz w:val="22"/>
          <w:szCs w:val="22"/>
        </w:rPr>
        <w:t>2</w:t>
      </w:r>
      <w:r w:rsidR="00A656A0">
        <w:rPr>
          <w:b/>
          <w:bCs/>
          <w:sz w:val="22"/>
          <w:szCs w:val="22"/>
        </w:rPr>
        <w:t>4</w:t>
      </w:r>
      <w:r w:rsidR="00A656A0" w:rsidRPr="007E5F6A">
        <w:rPr>
          <w:b/>
          <w:bCs/>
          <w:sz w:val="22"/>
          <w:szCs w:val="22"/>
        </w:rPr>
        <w:t xml:space="preserve"> </w:t>
      </w:r>
      <w:r w:rsidR="00A656A0">
        <w:rPr>
          <w:b/>
          <w:bCs/>
          <w:sz w:val="22"/>
          <w:szCs w:val="22"/>
        </w:rPr>
        <w:t>October</w:t>
      </w:r>
      <w:r w:rsidRPr="00742F56">
        <w:rPr>
          <w:sz w:val="22"/>
          <w:szCs w:val="22"/>
        </w:rPr>
        <w:t>.</w:t>
      </w:r>
    </w:p>
    <w:p w14:paraId="6EF391FA" w14:textId="2FC5FB8E" w:rsidR="00746CB8" w:rsidRPr="00E72F69" w:rsidRDefault="00742F56" w:rsidP="00E72F69">
      <w:pPr>
        <w:pStyle w:val="Default"/>
        <w:numPr>
          <w:ilvl w:val="0"/>
          <w:numId w:val="1"/>
        </w:numPr>
        <w:spacing w:after="240"/>
        <w:ind w:left="426" w:hanging="426"/>
        <w:rPr>
          <w:sz w:val="22"/>
          <w:szCs w:val="22"/>
        </w:rPr>
      </w:pPr>
      <w:r w:rsidRPr="00742F56">
        <w:rPr>
          <w:sz w:val="22"/>
          <w:szCs w:val="22"/>
        </w:rPr>
        <w:lastRenderedPageBreak/>
        <w:t xml:space="preserve">There is no reference in the Rules or the Procedural Guide to supplementary or rebuttal proofs and PINS does not encourage the provision of such. However, where they are necessary to save Inquiry time, copies should be provided no later than </w:t>
      </w:r>
      <w:r w:rsidR="00E72F69">
        <w:rPr>
          <w:b/>
          <w:bCs/>
          <w:sz w:val="22"/>
          <w:szCs w:val="22"/>
        </w:rPr>
        <w:t>31 October</w:t>
      </w:r>
      <w:r w:rsidRPr="00742F56">
        <w:rPr>
          <w:sz w:val="22"/>
          <w:szCs w:val="22"/>
        </w:rPr>
        <w:t xml:space="preserve">. It is important that any rebuttal proofs do not introduce new issues. As an alternative to a rebuttal, it may be that the matter could more succinctly be addressed through an addendum statement of Common Ground. </w:t>
      </w:r>
    </w:p>
    <w:tbl>
      <w:tblPr>
        <w:tblStyle w:val="TableGrid"/>
        <w:tblpPr w:leftFromText="180" w:rightFromText="180" w:vertAnchor="text" w:horzAnchor="margin" w:tblpXSpec="center" w:tblpY="197"/>
        <w:tblW w:w="0" w:type="auto"/>
        <w:tblLook w:val="04A0" w:firstRow="1" w:lastRow="0" w:firstColumn="1" w:lastColumn="0" w:noHBand="0" w:noVBand="1"/>
      </w:tblPr>
      <w:tblGrid>
        <w:gridCol w:w="5112"/>
        <w:gridCol w:w="3749"/>
      </w:tblGrid>
      <w:tr w:rsidR="00567A4B" w:rsidRPr="00772900" w14:paraId="0BFC12F4" w14:textId="77777777" w:rsidTr="00567A4B">
        <w:tc>
          <w:tcPr>
            <w:tcW w:w="5112" w:type="dxa"/>
          </w:tcPr>
          <w:p w14:paraId="6F901EEB" w14:textId="3DCAD8C5" w:rsidR="00567A4B" w:rsidRPr="00772900" w:rsidRDefault="00E72F69" w:rsidP="00705EDA">
            <w:pPr>
              <w:pStyle w:val="Default"/>
              <w:spacing w:line="360" w:lineRule="auto"/>
              <w:ind w:left="360"/>
              <w:rPr>
                <w:sz w:val="22"/>
                <w:szCs w:val="22"/>
                <w:highlight w:val="yellow"/>
              </w:rPr>
            </w:pPr>
            <w:r w:rsidRPr="00E72F69">
              <w:rPr>
                <w:sz w:val="22"/>
                <w:szCs w:val="22"/>
              </w:rPr>
              <w:t>17th October</w:t>
            </w:r>
          </w:p>
        </w:tc>
        <w:tc>
          <w:tcPr>
            <w:tcW w:w="3749" w:type="dxa"/>
          </w:tcPr>
          <w:p w14:paraId="06FF1257" w14:textId="77777777" w:rsidR="00567A4B" w:rsidRPr="007E5F6A" w:rsidRDefault="00567A4B" w:rsidP="00705EDA">
            <w:pPr>
              <w:pStyle w:val="Default"/>
              <w:spacing w:line="360" w:lineRule="auto"/>
              <w:ind w:left="360"/>
              <w:rPr>
                <w:sz w:val="22"/>
                <w:szCs w:val="22"/>
              </w:rPr>
            </w:pPr>
            <w:r w:rsidRPr="007E5F6A">
              <w:rPr>
                <w:sz w:val="22"/>
                <w:szCs w:val="22"/>
              </w:rPr>
              <w:t xml:space="preserve">Deadline for submission of: </w:t>
            </w:r>
          </w:p>
          <w:p w14:paraId="026F358D" w14:textId="77777777" w:rsidR="00567A4B" w:rsidRPr="007E5F6A" w:rsidRDefault="00567A4B" w:rsidP="00705EDA">
            <w:pPr>
              <w:pStyle w:val="Default"/>
              <w:spacing w:line="360" w:lineRule="auto"/>
              <w:ind w:left="360"/>
              <w:rPr>
                <w:sz w:val="22"/>
                <w:szCs w:val="22"/>
              </w:rPr>
            </w:pPr>
            <w:r w:rsidRPr="007E5F6A">
              <w:rPr>
                <w:sz w:val="22"/>
                <w:szCs w:val="22"/>
              </w:rPr>
              <w:t xml:space="preserve">• all proofs </w:t>
            </w:r>
          </w:p>
          <w:p w14:paraId="19DFD37F" w14:textId="77777777" w:rsidR="00567A4B" w:rsidRDefault="00567A4B" w:rsidP="00705EDA">
            <w:pPr>
              <w:pStyle w:val="Default"/>
              <w:spacing w:line="360" w:lineRule="auto"/>
              <w:ind w:left="360"/>
              <w:rPr>
                <w:sz w:val="22"/>
                <w:szCs w:val="22"/>
              </w:rPr>
            </w:pPr>
            <w:r w:rsidRPr="007E5F6A">
              <w:rPr>
                <w:sz w:val="22"/>
                <w:szCs w:val="22"/>
              </w:rPr>
              <w:t xml:space="preserve">• core documents list </w:t>
            </w:r>
          </w:p>
          <w:p w14:paraId="021B3510" w14:textId="5ED6C8B7" w:rsidR="00262223" w:rsidRDefault="00262223" w:rsidP="00705EDA">
            <w:pPr>
              <w:pStyle w:val="Default"/>
              <w:spacing w:line="360" w:lineRule="auto"/>
              <w:ind w:left="360"/>
              <w:rPr>
                <w:sz w:val="22"/>
                <w:szCs w:val="22"/>
              </w:rPr>
            </w:pPr>
            <w:r w:rsidRPr="007E5F6A">
              <w:rPr>
                <w:sz w:val="22"/>
                <w:szCs w:val="22"/>
              </w:rPr>
              <w:t>•</w:t>
            </w:r>
            <w:r>
              <w:rPr>
                <w:sz w:val="22"/>
                <w:szCs w:val="22"/>
              </w:rPr>
              <w:t xml:space="preserve"> </w:t>
            </w:r>
            <w:r w:rsidR="00E72F69">
              <w:rPr>
                <w:sz w:val="22"/>
                <w:szCs w:val="22"/>
              </w:rPr>
              <w:t>updated</w:t>
            </w:r>
            <w:r>
              <w:rPr>
                <w:sz w:val="22"/>
                <w:szCs w:val="22"/>
              </w:rPr>
              <w:t xml:space="preserve"> statement of common ground</w:t>
            </w:r>
          </w:p>
          <w:p w14:paraId="7F66208F" w14:textId="227A5509" w:rsidR="00B704D2" w:rsidRPr="00154CF2" w:rsidRDefault="00B704D2" w:rsidP="00705EDA">
            <w:pPr>
              <w:pStyle w:val="Default"/>
              <w:spacing w:line="360" w:lineRule="auto"/>
              <w:ind w:left="360"/>
              <w:rPr>
                <w:sz w:val="22"/>
                <w:szCs w:val="22"/>
              </w:rPr>
            </w:pPr>
            <w:r w:rsidRPr="007E5F6A">
              <w:rPr>
                <w:sz w:val="22"/>
                <w:szCs w:val="22"/>
              </w:rPr>
              <w:t>•</w:t>
            </w:r>
            <w:r>
              <w:rPr>
                <w:sz w:val="22"/>
                <w:szCs w:val="22"/>
              </w:rPr>
              <w:t xml:space="preserve"> draft planning obligation</w:t>
            </w:r>
          </w:p>
        </w:tc>
      </w:tr>
      <w:tr w:rsidR="00567A4B" w:rsidRPr="00772900" w14:paraId="0CD203C7" w14:textId="77777777" w:rsidTr="00567A4B">
        <w:tc>
          <w:tcPr>
            <w:tcW w:w="5112" w:type="dxa"/>
          </w:tcPr>
          <w:p w14:paraId="606FCE90" w14:textId="460BFF98" w:rsidR="00567A4B" w:rsidRPr="00D20772" w:rsidRDefault="00E72F69" w:rsidP="00705EDA">
            <w:pPr>
              <w:pStyle w:val="Default"/>
              <w:spacing w:line="360" w:lineRule="auto"/>
              <w:ind w:left="360"/>
              <w:rPr>
                <w:sz w:val="22"/>
                <w:szCs w:val="22"/>
              </w:rPr>
            </w:pPr>
            <w:r w:rsidRPr="00E72F69">
              <w:rPr>
                <w:sz w:val="22"/>
                <w:szCs w:val="22"/>
              </w:rPr>
              <w:t>24 October</w:t>
            </w:r>
          </w:p>
        </w:tc>
        <w:tc>
          <w:tcPr>
            <w:tcW w:w="3749" w:type="dxa"/>
          </w:tcPr>
          <w:p w14:paraId="152BBAA9" w14:textId="77777777" w:rsidR="00ED49C6" w:rsidRDefault="00567A4B" w:rsidP="00705EDA">
            <w:pPr>
              <w:pStyle w:val="Default"/>
              <w:spacing w:line="360" w:lineRule="auto"/>
              <w:ind w:left="360"/>
              <w:rPr>
                <w:sz w:val="22"/>
                <w:szCs w:val="22"/>
              </w:rPr>
            </w:pPr>
            <w:r w:rsidRPr="00D20772">
              <w:rPr>
                <w:sz w:val="22"/>
                <w:szCs w:val="22"/>
              </w:rPr>
              <w:t>Deadline for</w:t>
            </w:r>
            <w:r w:rsidR="00ED49C6">
              <w:rPr>
                <w:sz w:val="22"/>
                <w:szCs w:val="22"/>
              </w:rPr>
              <w:t>:</w:t>
            </w:r>
          </w:p>
          <w:p w14:paraId="104B82F2" w14:textId="4C9D3CC2" w:rsidR="00567A4B" w:rsidRDefault="00ED49C6" w:rsidP="00705EDA">
            <w:pPr>
              <w:pStyle w:val="Default"/>
              <w:spacing w:line="360" w:lineRule="auto"/>
              <w:ind w:left="360"/>
              <w:rPr>
                <w:sz w:val="22"/>
                <w:szCs w:val="22"/>
              </w:rPr>
            </w:pPr>
            <w:r w:rsidRPr="00D20772">
              <w:rPr>
                <w:sz w:val="22"/>
                <w:szCs w:val="22"/>
              </w:rPr>
              <w:t xml:space="preserve">• </w:t>
            </w:r>
            <w:r w:rsidR="00567A4B" w:rsidRPr="00D20772">
              <w:rPr>
                <w:sz w:val="22"/>
                <w:szCs w:val="22"/>
              </w:rPr>
              <w:t>the Council to submit a copy of the Inquiry notification letter and list of those notified</w:t>
            </w:r>
          </w:p>
          <w:p w14:paraId="3C5465CB" w14:textId="33C56578" w:rsidR="003B1421" w:rsidRPr="00D20772" w:rsidRDefault="00E453BF" w:rsidP="00705EDA">
            <w:pPr>
              <w:pStyle w:val="Default"/>
              <w:spacing w:line="360" w:lineRule="auto"/>
              <w:ind w:left="360"/>
              <w:rPr>
                <w:sz w:val="22"/>
                <w:szCs w:val="22"/>
              </w:rPr>
            </w:pPr>
            <w:r w:rsidRPr="00D20772">
              <w:rPr>
                <w:sz w:val="22"/>
                <w:szCs w:val="22"/>
              </w:rPr>
              <w:t xml:space="preserve">• </w:t>
            </w:r>
            <w:r w:rsidR="00ED49C6">
              <w:rPr>
                <w:sz w:val="22"/>
                <w:szCs w:val="22"/>
              </w:rPr>
              <w:t>f</w:t>
            </w:r>
            <w:r w:rsidR="003B1421">
              <w:rPr>
                <w:sz w:val="22"/>
                <w:szCs w:val="22"/>
              </w:rPr>
              <w:t>inal draft of planning obligation</w:t>
            </w:r>
          </w:p>
        </w:tc>
      </w:tr>
      <w:tr w:rsidR="00567A4B" w:rsidRPr="00772900" w14:paraId="515BCF4C" w14:textId="77777777" w:rsidTr="00567A4B">
        <w:tc>
          <w:tcPr>
            <w:tcW w:w="5112" w:type="dxa"/>
          </w:tcPr>
          <w:p w14:paraId="6FE79366" w14:textId="1EC123BD" w:rsidR="00567A4B" w:rsidRPr="00D20772" w:rsidRDefault="00BA0ABC" w:rsidP="00705EDA">
            <w:pPr>
              <w:pStyle w:val="Default"/>
              <w:spacing w:line="360" w:lineRule="auto"/>
              <w:ind w:left="360"/>
              <w:rPr>
                <w:sz w:val="22"/>
                <w:szCs w:val="22"/>
              </w:rPr>
            </w:pPr>
            <w:r w:rsidRPr="00BA0ABC">
              <w:rPr>
                <w:sz w:val="22"/>
                <w:szCs w:val="22"/>
              </w:rPr>
              <w:t>31 October</w:t>
            </w:r>
          </w:p>
        </w:tc>
        <w:tc>
          <w:tcPr>
            <w:tcW w:w="3749" w:type="dxa"/>
          </w:tcPr>
          <w:p w14:paraId="220EB368" w14:textId="77777777" w:rsidR="00567A4B" w:rsidRPr="00D20772" w:rsidRDefault="00567A4B" w:rsidP="00705EDA">
            <w:pPr>
              <w:pStyle w:val="Default"/>
              <w:spacing w:line="360" w:lineRule="auto"/>
              <w:ind w:left="360"/>
              <w:rPr>
                <w:sz w:val="22"/>
                <w:szCs w:val="22"/>
              </w:rPr>
            </w:pPr>
            <w:r w:rsidRPr="00D20772">
              <w:rPr>
                <w:sz w:val="22"/>
                <w:szCs w:val="22"/>
              </w:rPr>
              <w:t xml:space="preserve">Deadline for submission of: </w:t>
            </w:r>
          </w:p>
          <w:p w14:paraId="4E4BE9F9" w14:textId="79E74F91" w:rsidR="00567A4B" w:rsidRPr="00D20772" w:rsidRDefault="00567A4B" w:rsidP="00BA0ABC">
            <w:pPr>
              <w:pStyle w:val="Default"/>
              <w:spacing w:line="360" w:lineRule="auto"/>
              <w:ind w:left="360"/>
              <w:rPr>
                <w:sz w:val="22"/>
                <w:szCs w:val="22"/>
              </w:rPr>
            </w:pPr>
            <w:r w:rsidRPr="00D20772">
              <w:rPr>
                <w:sz w:val="22"/>
                <w:szCs w:val="22"/>
              </w:rPr>
              <w:t>• any necessary rebuttal proofs</w:t>
            </w:r>
          </w:p>
        </w:tc>
      </w:tr>
      <w:tr w:rsidR="00567A4B" w:rsidRPr="00772900" w14:paraId="128FA816" w14:textId="77777777" w:rsidTr="00567A4B">
        <w:tc>
          <w:tcPr>
            <w:tcW w:w="5112" w:type="dxa"/>
          </w:tcPr>
          <w:p w14:paraId="4A2C6848" w14:textId="1E9AFDDD" w:rsidR="00567A4B" w:rsidRPr="005F206C" w:rsidRDefault="00567A4B" w:rsidP="00705EDA">
            <w:pPr>
              <w:pStyle w:val="Default"/>
              <w:spacing w:line="360" w:lineRule="auto"/>
              <w:ind w:left="360"/>
              <w:rPr>
                <w:sz w:val="22"/>
                <w:szCs w:val="22"/>
              </w:rPr>
            </w:pPr>
            <w:r w:rsidRPr="005F206C">
              <w:rPr>
                <w:sz w:val="22"/>
                <w:szCs w:val="22"/>
              </w:rPr>
              <w:t>1</w:t>
            </w:r>
            <w:r w:rsidR="00BA0ABC">
              <w:rPr>
                <w:sz w:val="22"/>
                <w:szCs w:val="22"/>
              </w:rPr>
              <w:t>4</w:t>
            </w:r>
            <w:r w:rsidRPr="005F206C">
              <w:rPr>
                <w:sz w:val="22"/>
                <w:szCs w:val="22"/>
              </w:rPr>
              <w:t xml:space="preserve"> </w:t>
            </w:r>
            <w:r w:rsidR="00BA0ABC">
              <w:rPr>
                <w:sz w:val="22"/>
                <w:szCs w:val="22"/>
              </w:rPr>
              <w:t>November</w:t>
            </w:r>
          </w:p>
        </w:tc>
        <w:tc>
          <w:tcPr>
            <w:tcW w:w="3749" w:type="dxa"/>
          </w:tcPr>
          <w:p w14:paraId="24A96B8C" w14:textId="77777777" w:rsidR="00567A4B" w:rsidRPr="005F206C" w:rsidRDefault="00567A4B" w:rsidP="00705EDA">
            <w:pPr>
              <w:pStyle w:val="Default"/>
              <w:spacing w:line="360" w:lineRule="auto"/>
              <w:ind w:left="360"/>
              <w:rPr>
                <w:sz w:val="22"/>
                <w:szCs w:val="22"/>
              </w:rPr>
            </w:pPr>
            <w:r w:rsidRPr="005F206C">
              <w:rPr>
                <w:sz w:val="22"/>
                <w:szCs w:val="22"/>
              </w:rPr>
              <w:t>Inquiry opens 10.00 am</w:t>
            </w:r>
          </w:p>
        </w:tc>
      </w:tr>
    </w:tbl>
    <w:p w14:paraId="0D377A5C" w14:textId="77777777" w:rsidR="00567A4B" w:rsidRDefault="00567A4B" w:rsidP="005351AE">
      <w:pPr>
        <w:pStyle w:val="Default"/>
        <w:spacing w:after="240"/>
        <w:rPr>
          <w:sz w:val="22"/>
          <w:szCs w:val="22"/>
        </w:rPr>
      </w:pPr>
    </w:p>
    <w:p w14:paraId="30593399" w14:textId="421763E3" w:rsidR="005351AE" w:rsidRPr="00521C3E" w:rsidRDefault="005351AE" w:rsidP="005351AE">
      <w:pPr>
        <w:pStyle w:val="Default"/>
        <w:numPr>
          <w:ilvl w:val="0"/>
          <w:numId w:val="1"/>
        </w:numPr>
        <w:spacing w:after="240"/>
        <w:ind w:left="426" w:hanging="426"/>
        <w:rPr>
          <w:sz w:val="22"/>
          <w:szCs w:val="22"/>
        </w:rPr>
      </w:pPr>
      <w:r>
        <w:rPr>
          <w:sz w:val="22"/>
          <w:szCs w:val="22"/>
        </w:rPr>
        <w:t xml:space="preserve">Any requests for an extension on the above deadlines should be made </w:t>
      </w:r>
      <w:r w:rsidR="007A0127">
        <w:rPr>
          <w:sz w:val="22"/>
          <w:szCs w:val="22"/>
        </w:rPr>
        <w:t>to the Inspector</w:t>
      </w:r>
      <w:r>
        <w:rPr>
          <w:sz w:val="22"/>
          <w:szCs w:val="22"/>
        </w:rPr>
        <w:t xml:space="preserve"> as soon as possible.</w:t>
      </w:r>
    </w:p>
    <w:p w14:paraId="71DF5043" w14:textId="5277A25C" w:rsidR="00751E17" w:rsidRDefault="008176D4" w:rsidP="00D4736F">
      <w:pPr>
        <w:pStyle w:val="Default"/>
        <w:spacing w:after="240"/>
        <w:rPr>
          <w:b/>
          <w:bCs/>
          <w:sz w:val="22"/>
          <w:szCs w:val="22"/>
        </w:rPr>
      </w:pPr>
      <w:r w:rsidRPr="008176D4">
        <w:rPr>
          <w:b/>
          <w:bCs/>
          <w:sz w:val="22"/>
          <w:szCs w:val="22"/>
        </w:rPr>
        <w:t>Costs</w:t>
      </w:r>
    </w:p>
    <w:p w14:paraId="70B243AF" w14:textId="2EC59100" w:rsidR="008176D4" w:rsidRDefault="004D1814" w:rsidP="00D4736F">
      <w:pPr>
        <w:pStyle w:val="Default"/>
        <w:numPr>
          <w:ilvl w:val="0"/>
          <w:numId w:val="1"/>
        </w:numPr>
        <w:spacing w:after="240"/>
        <w:ind w:left="426" w:hanging="426"/>
        <w:rPr>
          <w:sz w:val="22"/>
          <w:szCs w:val="22"/>
        </w:rPr>
      </w:pPr>
      <w:r w:rsidRPr="004D1814">
        <w:rPr>
          <w:sz w:val="22"/>
          <w:szCs w:val="22"/>
        </w:rPr>
        <w:t>No application for costs is currently anticipated by any party at this stage</w:t>
      </w:r>
      <w:r w:rsidR="00E05D02">
        <w:rPr>
          <w:sz w:val="22"/>
          <w:szCs w:val="22"/>
        </w:rPr>
        <w:t xml:space="preserve">. </w:t>
      </w:r>
      <w:r w:rsidRPr="004D1814">
        <w:rPr>
          <w:sz w:val="22"/>
          <w:szCs w:val="22"/>
        </w:rPr>
        <w:t xml:space="preserve">If any application is to be made, the Planning Practice Guidance makes it clear that it should be made in writing before the Inquiry. Costs can be awarded in relation to unreasonable behaviour which may include not complying with the prescribed timetables. You are also reminded in this regard, that </w:t>
      </w:r>
      <w:proofErr w:type="gramStart"/>
      <w:r w:rsidRPr="004D1814">
        <w:rPr>
          <w:sz w:val="22"/>
          <w:szCs w:val="22"/>
        </w:rPr>
        <w:t>in order to</w:t>
      </w:r>
      <w:proofErr w:type="gramEnd"/>
      <w:r w:rsidRPr="004D1814">
        <w:rPr>
          <w:sz w:val="22"/>
          <w:szCs w:val="22"/>
        </w:rPr>
        <w:t xml:space="preserve"> support an effective and timely planning system in which all parties are required to behave reasonably, the Inspector has the ability to initiate an award of costs.</w:t>
      </w:r>
    </w:p>
    <w:p w14:paraId="5C8076D7" w14:textId="77777777" w:rsidR="008176D4" w:rsidRPr="008176D4" w:rsidRDefault="008176D4" w:rsidP="008176D4">
      <w:pPr>
        <w:pStyle w:val="Default"/>
        <w:spacing w:after="240"/>
        <w:ind w:left="360"/>
        <w:rPr>
          <w:sz w:val="22"/>
          <w:szCs w:val="22"/>
        </w:rPr>
      </w:pPr>
    </w:p>
    <w:p w14:paraId="4E6AC358" w14:textId="77777777" w:rsidR="00785105" w:rsidRPr="00E102F8" w:rsidRDefault="00785105" w:rsidP="00E678B3">
      <w:pPr>
        <w:pStyle w:val="Default"/>
        <w:jc w:val="right"/>
        <w:rPr>
          <w:sz w:val="22"/>
          <w:szCs w:val="22"/>
        </w:rPr>
      </w:pPr>
    </w:p>
    <w:p w14:paraId="0EB30307" w14:textId="305E21D2" w:rsidR="00785105" w:rsidRPr="00E102F8" w:rsidRDefault="00EB05D2" w:rsidP="00E678B3">
      <w:pPr>
        <w:pStyle w:val="Default"/>
        <w:spacing w:after="240"/>
        <w:jc w:val="right"/>
        <w:rPr>
          <w:rFonts w:ascii="Monotype Corsiva" w:hAnsi="Monotype Corsiva"/>
          <w:sz w:val="36"/>
          <w:szCs w:val="36"/>
        </w:rPr>
      </w:pPr>
      <w:r w:rsidRPr="00E102F8">
        <w:rPr>
          <w:rFonts w:ascii="Monotype Corsiva" w:hAnsi="Monotype Corsiva"/>
          <w:sz w:val="36"/>
          <w:szCs w:val="36"/>
        </w:rPr>
        <w:t>Rekha Sabu</w:t>
      </w:r>
    </w:p>
    <w:p w14:paraId="0487DBAB" w14:textId="77777777" w:rsidR="00785105" w:rsidRPr="00E102F8" w:rsidRDefault="00785105" w:rsidP="00E678B3">
      <w:pPr>
        <w:pStyle w:val="Default"/>
        <w:spacing w:after="240"/>
        <w:jc w:val="right"/>
        <w:rPr>
          <w:sz w:val="20"/>
          <w:szCs w:val="20"/>
        </w:rPr>
      </w:pPr>
      <w:r w:rsidRPr="00E102F8">
        <w:rPr>
          <w:sz w:val="20"/>
          <w:szCs w:val="20"/>
        </w:rPr>
        <w:t xml:space="preserve">INSPECTOR </w:t>
      </w:r>
    </w:p>
    <w:p w14:paraId="43B32843" w14:textId="34F83E7E" w:rsidR="00955877" w:rsidRPr="00AD7FA5" w:rsidRDefault="00661977" w:rsidP="00564D9B">
      <w:pPr>
        <w:pStyle w:val="Default"/>
        <w:spacing w:after="240"/>
        <w:jc w:val="right"/>
        <w:rPr>
          <w:b/>
          <w:bCs/>
          <w:sz w:val="23"/>
          <w:szCs w:val="23"/>
          <w:highlight w:val="yellow"/>
        </w:rPr>
      </w:pPr>
      <w:r>
        <w:rPr>
          <w:sz w:val="20"/>
          <w:szCs w:val="20"/>
        </w:rPr>
        <w:t>29</w:t>
      </w:r>
      <w:r w:rsidR="00955877" w:rsidRPr="00E102F8">
        <w:rPr>
          <w:sz w:val="20"/>
          <w:szCs w:val="20"/>
        </w:rPr>
        <w:t xml:space="preserve"> </w:t>
      </w:r>
      <w:r>
        <w:rPr>
          <w:sz w:val="20"/>
          <w:szCs w:val="20"/>
        </w:rPr>
        <w:t>September</w:t>
      </w:r>
      <w:r w:rsidR="00B71FA5" w:rsidRPr="00E102F8">
        <w:rPr>
          <w:sz w:val="20"/>
          <w:szCs w:val="20"/>
        </w:rPr>
        <w:t xml:space="preserve"> 2023</w:t>
      </w:r>
      <w:r w:rsidR="00955877" w:rsidRPr="00AD7FA5">
        <w:rPr>
          <w:b/>
          <w:bCs/>
          <w:sz w:val="23"/>
          <w:szCs w:val="23"/>
          <w:highlight w:val="yellow"/>
        </w:rPr>
        <w:br w:type="page"/>
      </w:r>
    </w:p>
    <w:p w14:paraId="6A8A1D85" w14:textId="77777777" w:rsidR="00C05A15" w:rsidRPr="00FD1B95" w:rsidRDefault="00C05A15" w:rsidP="00C05A15">
      <w:pPr>
        <w:rPr>
          <w:rFonts w:ascii="Arial" w:hAnsi="Arial" w:cs="Arial"/>
          <w:b/>
          <w:bCs/>
          <w:color w:val="000000"/>
        </w:rPr>
      </w:pPr>
      <w:r w:rsidRPr="00FD1B95">
        <w:rPr>
          <w:rFonts w:ascii="Arial" w:hAnsi="Arial" w:cs="Arial"/>
          <w:b/>
          <w:bCs/>
          <w:color w:val="000000"/>
        </w:rPr>
        <w:lastRenderedPageBreak/>
        <w:t xml:space="preserve">TEMPLATE FOR CORE DOCUMENTS LIST                                                        </w:t>
      </w:r>
    </w:p>
    <w:p w14:paraId="113FEA62" w14:textId="07FC064B" w:rsidR="00C05A15" w:rsidRPr="00FD1B95" w:rsidRDefault="00C05A15" w:rsidP="00C05A15">
      <w:pPr>
        <w:rPr>
          <w:rFonts w:ascii="Arial" w:hAnsi="Arial" w:cs="Arial"/>
          <w:b/>
          <w:bCs/>
          <w:color w:val="000000"/>
        </w:rPr>
      </w:pPr>
      <w:r w:rsidRPr="00FD1B95">
        <w:rPr>
          <w:rFonts w:ascii="Arial" w:hAnsi="Arial" w:cs="Arial"/>
          <w:b/>
          <w:bCs/>
          <w:color w:val="000000"/>
        </w:rPr>
        <w:t>(</w:t>
      </w:r>
      <w:proofErr w:type="gramStart"/>
      <w:r w:rsidRPr="00FD1B95">
        <w:rPr>
          <w:rFonts w:ascii="Arial" w:hAnsi="Arial" w:cs="Arial"/>
          <w:b/>
          <w:bCs/>
          <w:color w:val="000000"/>
        </w:rPr>
        <w:t>adapt</w:t>
      </w:r>
      <w:proofErr w:type="gramEnd"/>
      <w:r w:rsidRPr="00FD1B95">
        <w:rPr>
          <w:rFonts w:ascii="Arial" w:hAnsi="Arial" w:cs="Arial"/>
          <w:b/>
          <w:bCs/>
          <w:color w:val="000000"/>
        </w:rPr>
        <w:t xml:space="preserve"> headings to suit)</w:t>
      </w:r>
    </w:p>
    <w:p w14:paraId="5C0F7410" w14:textId="77777777" w:rsidR="00C05A15" w:rsidRPr="00FD1B95" w:rsidRDefault="00C05A15" w:rsidP="00C05A15">
      <w:pPr>
        <w:rPr>
          <w:rFonts w:ascii="Arial" w:hAnsi="Arial" w:cs="Arial"/>
          <w:b/>
          <w:bCs/>
          <w:color w:val="000000"/>
        </w:rPr>
      </w:pPr>
    </w:p>
    <w:p w14:paraId="57E46812" w14:textId="533F2D72" w:rsidR="00C05A15" w:rsidRPr="00FD1B95" w:rsidRDefault="00C05A15" w:rsidP="00C05A15">
      <w:pPr>
        <w:rPr>
          <w:rFonts w:ascii="Arial" w:hAnsi="Arial" w:cs="Arial"/>
          <w:b/>
          <w:bCs/>
          <w:color w:val="000000"/>
        </w:rPr>
      </w:pPr>
      <w:r w:rsidRPr="00FD1B95">
        <w:rPr>
          <w:rFonts w:ascii="Arial" w:hAnsi="Arial" w:cs="Arial"/>
          <w:b/>
          <w:bCs/>
          <w:color w:val="000000"/>
        </w:rPr>
        <w:t>CD1</w:t>
      </w:r>
      <w:r w:rsidR="00A838E2">
        <w:rPr>
          <w:rFonts w:ascii="Arial" w:hAnsi="Arial" w:cs="Arial"/>
          <w:b/>
          <w:bCs/>
          <w:color w:val="000000"/>
        </w:rPr>
        <w:tab/>
      </w:r>
      <w:r w:rsidRPr="00FD1B95">
        <w:rPr>
          <w:rFonts w:ascii="Arial" w:hAnsi="Arial" w:cs="Arial"/>
          <w:b/>
          <w:bCs/>
          <w:color w:val="000000"/>
        </w:rPr>
        <w:t xml:space="preserve"> Application Documents and Plans</w:t>
      </w:r>
    </w:p>
    <w:p w14:paraId="707967B5" w14:textId="77777777" w:rsidR="00C05A15" w:rsidRPr="00A838E2" w:rsidRDefault="00C05A15" w:rsidP="002B7206">
      <w:pPr>
        <w:spacing w:after="0"/>
        <w:rPr>
          <w:rFonts w:ascii="Arial" w:hAnsi="Arial" w:cs="Arial"/>
          <w:color w:val="000000"/>
        </w:rPr>
      </w:pPr>
      <w:r w:rsidRPr="00A838E2">
        <w:rPr>
          <w:rFonts w:ascii="Arial" w:hAnsi="Arial" w:cs="Arial"/>
          <w:color w:val="000000"/>
        </w:rPr>
        <w:t>1.1</w:t>
      </w:r>
      <w:r w:rsidRPr="00A838E2">
        <w:rPr>
          <w:rFonts w:ascii="Arial" w:hAnsi="Arial" w:cs="Arial"/>
          <w:color w:val="000000"/>
        </w:rPr>
        <w:tab/>
      </w:r>
    </w:p>
    <w:p w14:paraId="7C8C7D8A" w14:textId="77777777" w:rsidR="00C05A15" w:rsidRPr="00A838E2" w:rsidRDefault="00C05A15" w:rsidP="002B7206">
      <w:pPr>
        <w:spacing w:after="0"/>
        <w:rPr>
          <w:rFonts w:ascii="Arial" w:hAnsi="Arial" w:cs="Arial"/>
          <w:color w:val="000000"/>
        </w:rPr>
      </w:pPr>
      <w:r w:rsidRPr="00A838E2">
        <w:rPr>
          <w:rFonts w:ascii="Arial" w:hAnsi="Arial" w:cs="Arial"/>
          <w:color w:val="000000"/>
        </w:rPr>
        <w:t>1.2 etc</w:t>
      </w:r>
      <w:r w:rsidRPr="00A838E2">
        <w:rPr>
          <w:rFonts w:ascii="Arial" w:hAnsi="Arial" w:cs="Arial"/>
          <w:color w:val="000000"/>
        </w:rPr>
        <w:tab/>
      </w:r>
    </w:p>
    <w:p w14:paraId="34B921D3" w14:textId="77777777" w:rsidR="00C05A15" w:rsidRPr="00FD1B95" w:rsidRDefault="00C05A15" w:rsidP="00C05A15">
      <w:pPr>
        <w:rPr>
          <w:rFonts w:ascii="Arial" w:hAnsi="Arial" w:cs="Arial"/>
          <w:b/>
          <w:bCs/>
          <w:color w:val="000000"/>
        </w:rPr>
      </w:pPr>
    </w:p>
    <w:p w14:paraId="3D537DE2" w14:textId="1486489D" w:rsidR="00C05A15" w:rsidRPr="00FD1B95" w:rsidRDefault="00C05A15" w:rsidP="00C05A15">
      <w:pPr>
        <w:rPr>
          <w:rFonts w:ascii="Arial" w:hAnsi="Arial" w:cs="Arial"/>
          <w:b/>
          <w:bCs/>
          <w:color w:val="000000"/>
        </w:rPr>
      </w:pPr>
      <w:r w:rsidRPr="00FD1B95">
        <w:rPr>
          <w:rFonts w:ascii="Arial" w:hAnsi="Arial" w:cs="Arial"/>
          <w:b/>
          <w:bCs/>
          <w:color w:val="000000"/>
        </w:rPr>
        <w:t>CD2</w:t>
      </w:r>
      <w:r w:rsidR="00A838E2">
        <w:rPr>
          <w:rFonts w:ascii="Arial" w:hAnsi="Arial" w:cs="Arial"/>
          <w:b/>
          <w:bCs/>
          <w:color w:val="000000"/>
        </w:rPr>
        <w:tab/>
      </w:r>
      <w:r w:rsidRPr="00FD1B95">
        <w:rPr>
          <w:rFonts w:ascii="Arial" w:hAnsi="Arial" w:cs="Arial"/>
          <w:b/>
          <w:bCs/>
          <w:color w:val="000000"/>
        </w:rPr>
        <w:t xml:space="preserve">Additional/Amended Reports and/or Plans submitted after </w:t>
      </w:r>
      <w:proofErr w:type="gramStart"/>
      <w:r w:rsidRPr="00FD1B95">
        <w:rPr>
          <w:rFonts w:ascii="Arial" w:hAnsi="Arial" w:cs="Arial"/>
          <w:b/>
          <w:bCs/>
          <w:color w:val="000000"/>
        </w:rPr>
        <w:t>validation</w:t>
      </w:r>
      <w:proofErr w:type="gramEnd"/>
    </w:p>
    <w:p w14:paraId="471125F6" w14:textId="77777777" w:rsidR="00C05A15" w:rsidRPr="00A838E2" w:rsidRDefault="00C05A15" w:rsidP="002B7206">
      <w:pPr>
        <w:spacing w:after="0"/>
        <w:rPr>
          <w:rFonts w:ascii="Arial" w:hAnsi="Arial" w:cs="Arial"/>
          <w:color w:val="000000"/>
        </w:rPr>
      </w:pPr>
      <w:r w:rsidRPr="00A838E2">
        <w:rPr>
          <w:rFonts w:ascii="Arial" w:hAnsi="Arial" w:cs="Arial"/>
          <w:color w:val="000000"/>
        </w:rPr>
        <w:t>2.1</w:t>
      </w:r>
      <w:r w:rsidRPr="00A838E2">
        <w:rPr>
          <w:rFonts w:ascii="Arial" w:hAnsi="Arial" w:cs="Arial"/>
          <w:color w:val="000000"/>
        </w:rPr>
        <w:tab/>
      </w:r>
    </w:p>
    <w:p w14:paraId="77EA268E" w14:textId="77777777" w:rsidR="00C05A15" w:rsidRPr="00A838E2" w:rsidRDefault="00C05A15" w:rsidP="002B7206">
      <w:pPr>
        <w:spacing w:after="0"/>
        <w:rPr>
          <w:rFonts w:ascii="Arial" w:hAnsi="Arial" w:cs="Arial"/>
          <w:color w:val="000000"/>
        </w:rPr>
      </w:pPr>
      <w:r w:rsidRPr="00A838E2">
        <w:rPr>
          <w:rFonts w:ascii="Arial" w:hAnsi="Arial" w:cs="Arial"/>
          <w:color w:val="000000"/>
        </w:rPr>
        <w:t xml:space="preserve">2.2 </w:t>
      </w:r>
      <w:r w:rsidRPr="00A838E2">
        <w:rPr>
          <w:rFonts w:ascii="Arial" w:hAnsi="Arial" w:cs="Arial"/>
          <w:color w:val="000000"/>
        </w:rPr>
        <w:tab/>
      </w:r>
    </w:p>
    <w:p w14:paraId="6CD60DC5" w14:textId="77777777" w:rsidR="00C05A15" w:rsidRPr="00FD1B95" w:rsidRDefault="00C05A15" w:rsidP="00C05A15">
      <w:pPr>
        <w:rPr>
          <w:rFonts w:ascii="Arial" w:hAnsi="Arial" w:cs="Arial"/>
          <w:b/>
          <w:bCs/>
          <w:color w:val="000000"/>
        </w:rPr>
      </w:pPr>
    </w:p>
    <w:p w14:paraId="6ADB25E4" w14:textId="641BA210" w:rsidR="00C05A15" w:rsidRPr="00FD1B95" w:rsidRDefault="00C05A15" w:rsidP="00C05A15">
      <w:pPr>
        <w:rPr>
          <w:rFonts w:ascii="Arial" w:hAnsi="Arial" w:cs="Arial"/>
          <w:b/>
          <w:bCs/>
          <w:color w:val="000000"/>
        </w:rPr>
      </w:pPr>
      <w:r w:rsidRPr="00FD1B95">
        <w:rPr>
          <w:rFonts w:ascii="Arial" w:hAnsi="Arial" w:cs="Arial"/>
          <w:b/>
          <w:bCs/>
          <w:color w:val="000000"/>
        </w:rPr>
        <w:t>CD3</w:t>
      </w:r>
      <w:r w:rsidR="00A838E2">
        <w:rPr>
          <w:rFonts w:ascii="Arial" w:hAnsi="Arial" w:cs="Arial"/>
          <w:b/>
          <w:bCs/>
          <w:color w:val="000000"/>
        </w:rPr>
        <w:tab/>
      </w:r>
      <w:r w:rsidRPr="00FD1B95">
        <w:rPr>
          <w:rFonts w:ascii="Arial" w:hAnsi="Arial" w:cs="Arial"/>
          <w:b/>
          <w:bCs/>
          <w:color w:val="000000"/>
        </w:rPr>
        <w:t>Committee Report and Decision Notice</w:t>
      </w:r>
    </w:p>
    <w:p w14:paraId="7449883F" w14:textId="77777777" w:rsidR="00C05A15" w:rsidRPr="00A838E2" w:rsidRDefault="00C05A15" w:rsidP="002B7206">
      <w:pPr>
        <w:spacing w:after="0"/>
        <w:rPr>
          <w:rFonts w:ascii="Arial" w:hAnsi="Arial" w:cs="Arial"/>
          <w:color w:val="000000"/>
        </w:rPr>
      </w:pPr>
      <w:r w:rsidRPr="00A838E2">
        <w:rPr>
          <w:rFonts w:ascii="Arial" w:hAnsi="Arial" w:cs="Arial"/>
          <w:color w:val="000000"/>
        </w:rPr>
        <w:t>3.1</w:t>
      </w:r>
      <w:r w:rsidRPr="00A838E2">
        <w:rPr>
          <w:rFonts w:ascii="Arial" w:hAnsi="Arial" w:cs="Arial"/>
          <w:color w:val="000000"/>
        </w:rPr>
        <w:tab/>
        <w:t xml:space="preserve">Officer’s Report and minute of committee meeting </w:t>
      </w:r>
    </w:p>
    <w:p w14:paraId="43FCD2CC" w14:textId="77777777" w:rsidR="00C05A15" w:rsidRPr="00A838E2" w:rsidRDefault="00C05A15" w:rsidP="002B7206">
      <w:pPr>
        <w:spacing w:after="0"/>
        <w:rPr>
          <w:rFonts w:ascii="Arial" w:hAnsi="Arial" w:cs="Arial"/>
          <w:color w:val="000000"/>
        </w:rPr>
      </w:pPr>
      <w:r w:rsidRPr="00A838E2">
        <w:rPr>
          <w:rFonts w:ascii="Arial" w:hAnsi="Arial" w:cs="Arial"/>
          <w:color w:val="000000"/>
        </w:rPr>
        <w:t>3.2</w:t>
      </w:r>
      <w:r w:rsidRPr="00A838E2">
        <w:rPr>
          <w:rFonts w:ascii="Arial" w:hAnsi="Arial" w:cs="Arial"/>
          <w:color w:val="000000"/>
        </w:rPr>
        <w:tab/>
        <w:t xml:space="preserve">Decision Notice </w:t>
      </w:r>
    </w:p>
    <w:p w14:paraId="552FA3F7" w14:textId="77777777" w:rsidR="00C05A15" w:rsidRPr="00FD1B95" w:rsidRDefault="00C05A15" w:rsidP="00C05A15">
      <w:pPr>
        <w:rPr>
          <w:rFonts w:ascii="Arial" w:hAnsi="Arial" w:cs="Arial"/>
          <w:b/>
          <w:bCs/>
          <w:color w:val="000000"/>
        </w:rPr>
      </w:pPr>
    </w:p>
    <w:p w14:paraId="1FB21BFD" w14:textId="7D7F9209" w:rsidR="00C05A15" w:rsidRPr="00FD1B95" w:rsidRDefault="00C05A15" w:rsidP="00C05A15">
      <w:pPr>
        <w:rPr>
          <w:rFonts w:ascii="Arial" w:hAnsi="Arial" w:cs="Arial"/>
          <w:b/>
          <w:bCs/>
          <w:color w:val="000000"/>
        </w:rPr>
      </w:pPr>
      <w:r w:rsidRPr="00FD1B95">
        <w:rPr>
          <w:rFonts w:ascii="Arial" w:hAnsi="Arial" w:cs="Arial"/>
          <w:b/>
          <w:bCs/>
          <w:color w:val="000000"/>
        </w:rPr>
        <w:t>CD4</w:t>
      </w:r>
      <w:r w:rsidR="00A838E2">
        <w:rPr>
          <w:rFonts w:ascii="Arial" w:hAnsi="Arial" w:cs="Arial"/>
          <w:b/>
          <w:bCs/>
          <w:color w:val="000000"/>
        </w:rPr>
        <w:tab/>
      </w:r>
      <w:r w:rsidRPr="00FD1B95">
        <w:rPr>
          <w:rFonts w:ascii="Arial" w:hAnsi="Arial" w:cs="Arial"/>
          <w:b/>
          <w:bCs/>
          <w:color w:val="000000"/>
        </w:rPr>
        <w:t xml:space="preserve"> The Development Plan</w:t>
      </w:r>
    </w:p>
    <w:p w14:paraId="0EE889E9" w14:textId="77777777" w:rsidR="00C05A15" w:rsidRPr="00A838E2" w:rsidRDefault="00C05A15" w:rsidP="002B7206">
      <w:pPr>
        <w:spacing w:after="0"/>
        <w:rPr>
          <w:rFonts w:ascii="Arial" w:hAnsi="Arial" w:cs="Arial"/>
          <w:color w:val="000000"/>
        </w:rPr>
      </w:pPr>
      <w:r w:rsidRPr="00A838E2">
        <w:rPr>
          <w:rFonts w:ascii="Arial" w:hAnsi="Arial" w:cs="Arial"/>
          <w:color w:val="000000"/>
        </w:rPr>
        <w:t>4.1</w:t>
      </w:r>
      <w:r w:rsidRPr="00A838E2">
        <w:rPr>
          <w:rFonts w:ascii="Arial" w:hAnsi="Arial" w:cs="Arial"/>
          <w:color w:val="000000"/>
        </w:rPr>
        <w:tab/>
      </w:r>
    </w:p>
    <w:p w14:paraId="09FF70B0" w14:textId="77777777" w:rsidR="00C05A15" w:rsidRPr="00A838E2" w:rsidRDefault="00C05A15" w:rsidP="002B7206">
      <w:pPr>
        <w:spacing w:after="0"/>
        <w:rPr>
          <w:rFonts w:ascii="Arial" w:hAnsi="Arial" w:cs="Arial"/>
          <w:color w:val="000000"/>
        </w:rPr>
      </w:pPr>
      <w:r w:rsidRPr="00A838E2">
        <w:rPr>
          <w:rFonts w:ascii="Arial" w:hAnsi="Arial" w:cs="Arial"/>
          <w:color w:val="000000"/>
        </w:rPr>
        <w:t>4.2</w:t>
      </w:r>
      <w:r w:rsidRPr="00A838E2">
        <w:rPr>
          <w:rFonts w:ascii="Arial" w:hAnsi="Arial" w:cs="Arial"/>
          <w:color w:val="000000"/>
        </w:rPr>
        <w:tab/>
      </w:r>
    </w:p>
    <w:p w14:paraId="2792B687" w14:textId="77777777" w:rsidR="00C05A15" w:rsidRPr="00FD1B95" w:rsidRDefault="00C05A15" w:rsidP="00C05A15">
      <w:pPr>
        <w:rPr>
          <w:rFonts w:ascii="Arial" w:hAnsi="Arial" w:cs="Arial"/>
          <w:b/>
          <w:bCs/>
          <w:color w:val="000000"/>
        </w:rPr>
      </w:pPr>
    </w:p>
    <w:p w14:paraId="4271216D" w14:textId="36C9A758" w:rsidR="00C05A15" w:rsidRPr="00FD1B95" w:rsidRDefault="00C05A15" w:rsidP="00C05A15">
      <w:pPr>
        <w:rPr>
          <w:rFonts w:ascii="Arial" w:hAnsi="Arial" w:cs="Arial"/>
          <w:b/>
          <w:bCs/>
          <w:color w:val="000000"/>
        </w:rPr>
      </w:pPr>
      <w:r w:rsidRPr="00FD1B95">
        <w:rPr>
          <w:rFonts w:ascii="Arial" w:hAnsi="Arial" w:cs="Arial"/>
          <w:b/>
          <w:bCs/>
          <w:color w:val="000000"/>
        </w:rPr>
        <w:t>CD5</w:t>
      </w:r>
      <w:r w:rsidR="00A838E2">
        <w:rPr>
          <w:rFonts w:ascii="Arial" w:hAnsi="Arial" w:cs="Arial"/>
          <w:b/>
          <w:bCs/>
          <w:color w:val="000000"/>
        </w:rPr>
        <w:tab/>
      </w:r>
      <w:r w:rsidRPr="00FD1B95">
        <w:rPr>
          <w:rFonts w:ascii="Arial" w:hAnsi="Arial" w:cs="Arial"/>
          <w:b/>
          <w:bCs/>
          <w:color w:val="000000"/>
        </w:rPr>
        <w:t xml:space="preserve">Emerging Development Plan </w:t>
      </w:r>
    </w:p>
    <w:p w14:paraId="091C17E9" w14:textId="77777777" w:rsidR="00C05A15" w:rsidRPr="00A838E2" w:rsidRDefault="00C05A15" w:rsidP="002B7206">
      <w:pPr>
        <w:spacing w:after="0"/>
        <w:rPr>
          <w:rFonts w:ascii="Arial" w:hAnsi="Arial" w:cs="Arial"/>
          <w:color w:val="000000"/>
        </w:rPr>
      </w:pPr>
      <w:r w:rsidRPr="00A838E2">
        <w:rPr>
          <w:rFonts w:ascii="Arial" w:hAnsi="Arial" w:cs="Arial"/>
          <w:color w:val="000000"/>
        </w:rPr>
        <w:t>5.1</w:t>
      </w:r>
      <w:r w:rsidRPr="00A838E2">
        <w:rPr>
          <w:rFonts w:ascii="Arial" w:hAnsi="Arial" w:cs="Arial"/>
          <w:color w:val="000000"/>
        </w:rPr>
        <w:tab/>
      </w:r>
    </w:p>
    <w:p w14:paraId="15CDF9CC" w14:textId="77777777" w:rsidR="00C05A15" w:rsidRPr="00A838E2" w:rsidRDefault="00C05A15" w:rsidP="002B7206">
      <w:pPr>
        <w:spacing w:after="0"/>
        <w:rPr>
          <w:rFonts w:ascii="Arial" w:hAnsi="Arial" w:cs="Arial"/>
          <w:color w:val="000000"/>
        </w:rPr>
      </w:pPr>
      <w:r w:rsidRPr="00A838E2">
        <w:rPr>
          <w:rFonts w:ascii="Arial" w:hAnsi="Arial" w:cs="Arial"/>
          <w:color w:val="000000"/>
        </w:rPr>
        <w:t>5.2</w:t>
      </w:r>
      <w:r w:rsidRPr="00A838E2">
        <w:rPr>
          <w:rFonts w:ascii="Arial" w:hAnsi="Arial" w:cs="Arial"/>
          <w:color w:val="000000"/>
        </w:rPr>
        <w:tab/>
      </w:r>
    </w:p>
    <w:p w14:paraId="19F4CAC6" w14:textId="77777777" w:rsidR="00C05A15" w:rsidRPr="00FD1B95" w:rsidRDefault="00C05A15" w:rsidP="00C05A15">
      <w:pPr>
        <w:rPr>
          <w:rFonts w:ascii="Arial" w:hAnsi="Arial" w:cs="Arial"/>
          <w:b/>
          <w:bCs/>
          <w:color w:val="000000"/>
        </w:rPr>
      </w:pPr>
    </w:p>
    <w:p w14:paraId="5F13C23A" w14:textId="4B014420" w:rsidR="00C05A15" w:rsidRPr="00FD1B95" w:rsidRDefault="00C05A15" w:rsidP="00C05A15">
      <w:pPr>
        <w:rPr>
          <w:rFonts w:ascii="Arial" w:hAnsi="Arial" w:cs="Arial"/>
          <w:b/>
          <w:bCs/>
          <w:color w:val="000000"/>
        </w:rPr>
      </w:pPr>
      <w:r w:rsidRPr="00FD1B95">
        <w:rPr>
          <w:rFonts w:ascii="Arial" w:hAnsi="Arial" w:cs="Arial"/>
          <w:b/>
          <w:bCs/>
          <w:color w:val="000000"/>
        </w:rPr>
        <w:t>CD6</w:t>
      </w:r>
      <w:r w:rsidR="00A838E2">
        <w:rPr>
          <w:rFonts w:ascii="Arial" w:hAnsi="Arial" w:cs="Arial"/>
          <w:b/>
          <w:bCs/>
          <w:color w:val="000000"/>
        </w:rPr>
        <w:tab/>
      </w:r>
      <w:r w:rsidRPr="00FD1B95">
        <w:rPr>
          <w:rFonts w:ascii="Arial" w:hAnsi="Arial" w:cs="Arial"/>
          <w:b/>
          <w:bCs/>
          <w:color w:val="000000"/>
        </w:rPr>
        <w:t xml:space="preserve">Relevant Appeal Decisions* </w:t>
      </w:r>
    </w:p>
    <w:p w14:paraId="140F2309" w14:textId="77777777" w:rsidR="00C05A15" w:rsidRPr="00A838E2" w:rsidRDefault="00C05A15" w:rsidP="002B7206">
      <w:pPr>
        <w:spacing w:after="0"/>
        <w:rPr>
          <w:rFonts w:ascii="Arial" w:hAnsi="Arial" w:cs="Arial"/>
          <w:color w:val="000000"/>
        </w:rPr>
      </w:pPr>
      <w:r w:rsidRPr="00A838E2">
        <w:rPr>
          <w:rFonts w:ascii="Arial" w:hAnsi="Arial" w:cs="Arial"/>
          <w:color w:val="000000"/>
        </w:rPr>
        <w:t>6.1</w:t>
      </w:r>
      <w:r w:rsidRPr="00A838E2">
        <w:rPr>
          <w:rFonts w:ascii="Arial" w:hAnsi="Arial" w:cs="Arial"/>
          <w:color w:val="000000"/>
        </w:rPr>
        <w:tab/>
      </w:r>
    </w:p>
    <w:p w14:paraId="23BFBC54" w14:textId="77777777" w:rsidR="00C05A15" w:rsidRPr="00A838E2" w:rsidRDefault="00C05A15" w:rsidP="002B7206">
      <w:pPr>
        <w:spacing w:after="0"/>
        <w:rPr>
          <w:rFonts w:ascii="Arial" w:hAnsi="Arial" w:cs="Arial"/>
          <w:color w:val="000000"/>
        </w:rPr>
      </w:pPr>
      <w:r w:rsidRPr="00A838E2">
        <w:rPr>
          <w:rFonts w:ascii="Arial" w:hAnsi="Arial" w:cs="Arial"/>
          <w:color w:val="000000"/>
        </w:rPr>
        <w:t>6.2</w:t>
      </w:r>
      <w:r w:rsidRPr="00A838E2">
        <w:rPr>
          <w:rFonts w:ascii="Arial" w:hAnsi="Arial" w:cs="Arial"/>
          <w:color w:val="000000"/>
        </w:rPr>
        <w:tab/>
      </w:r>
    </w:p>
    <w:p w14:paraId="0DA8B4DD" w14:textId="77777777" w:rsidR="00C05A15" w:rsidRPr="00FD1B95" w:rsidRDefault="00C05A15" w:rsidP="00C05A15">
      <w:pPr>
        <w:rPr>
          <w:rFonts w:ascii="Arial" w:hAnsi="Arial" w:cs="Arial"/>
          <w:b/>
          <w:bCs/>
          <w:color w:val="000000"/>
        </w:rPr>
      </w:pPr>
    </w:p>
    <w:p w14:paraId="1C2F4DAA" w14:textId="1FB36AD5" w:rsidR="00C05A15" w:rsidRPr="00FD1B95" w:rsidRDefault="00C05A15" w:rsidP="00C05A15">
      <w:pPr>
        <w:rPr>
          <w:rFonts w:ascii="Arial" w:hAnsi="Arial" w:cs="Arial"/>
          <w:b/>
          <w:bCs/>
          <w:color w:val="000000"/>
        </w:rPr>
      </w:pPr>
      <w:r w:rsidRPr="00FD1B95">
        <w:rPr>
          <w:rFonts w:ascii="Arial" w:hAnsi="Arial" w:cs="Arial"/>
          <w:b/>
          <w:bCs/>
          <w:color w:val="000000"/>
        </w:rPr>
        <w:t>CD7</w:t>
      </w:r>
      <w:r w:rsidR="00A838E2">
        <w:rPr>
          <w:rFonts w:ascii="Arial" w:hAnsi="Arial" w:cs="Arial"/>
          <w:b/>
          <w:bCs/>
          <w:color w:val="000000"/>
        </w:rPr>
        <w:tab/>
      </w:r>
      <w:r w:rsidRPr="00FD1B95">
        <w:rPr>
          <w:rFonts w:ascii="Arial" w:hAnsi="Arial" w:cs="Arial"/>
          <w:b/>
          <w:bCs/>
          <w:color w:val="000000"/>
        </w:rPr>
        <w:t xml:space="preserve"> Relevant Judgements* </w:t>
      </w:r>
    </w:p>
    <w:p w14:paraId="5DC34241" w14:textId="77777777" w:rsidR="00C05A15" w:rsidRPr="00A838E2" w:rsidRDefault="00C05A15" w:rsidP="002B7206">
      <w:pPr>
        <w:spacing w:after="0"/>
        <w:rPr>
          <w:rFonts w:ascii="Arial" w:hAnsi="Arial" w:cs="Arial"/>
          <w:color w:val="000000"/>
        </w:rPr>
      </w:pPr>
      <w:r w:rsidRPr="00A838E2">
        <w:rPr>
          <w:rFonts w:ascii="Arial" w:hAnsi="Arial" w:cs="Arial"/>
          <w:color w:val="000000"/>
        </w:rPr>
        <w:t>7.1</w:t>
      </w:r>
      <w:r w:rsidRPr="00A838E2">
        <w:rPr>
          <w:rFonts w:ascii="Arial" w:hAnsi="Arial" w:cs="Arial"/>
          <w:color w:val="000000"/>
        </w:rPr>
        <w:tab/>
      </w:r>
    </w:p>
    <w:p w14:paraId="26D1AD1A" w14:textId="77777777" w:rsidR="00C05A15" w:rsidRPr="00A838E2" w:rsidRDefault="00C05A15" w:rsidP="002B7206">
      <w:pPr>
        <w:spacing w:after="0"/>
        <w:rPr>
          <w:rFonts w:ascii="Arial" w:hAnsi="Arial" w:cs="Arial"/>
          <w:color w:val="000000"/>
        </w:rPr>
      </w:pPr>
      <w:r w:rsidRPr="00A838E2">
        <w:rPr>
          <w:rFonts w:ascii="Arial" w:hAnsi="Arial" w:cs="Arial"/>
          <w:color w:val="000000"/>
        </w:rPr>
        <w:t>7.2</w:t>
      </w:r>
      <w:r w:rsidRPr="00A838E2">
        <w:rPr>
          <w:rFonts w:ascii="Arial" w:hAnsi="Arial" w:cs="Arial"/>
          <w:color w:val="000000"/>
        </w:rPr>
        <w:tab/>
      </w:r>
    </w:p>
    <w:p w14:paraId="54EA9117" w14:textId="77777777" w:rsidR="00C05A15" w:rsidRPr="00FD1B95" w:rsidRDefault="00C05A15" w:rsidP="00C05A15">
      <w:pPr>
        <w:rPr>
          <w:rFonts w:ascii="Arial" w:hAnsi="Arial" w:cs="Arial"/>
          <w:b/>
          <w:bCs/>
          <w:color w:val="000000"/>
        </w:rPr>
      </w:pPr>
    </w:p>
    <w:p w14:paraId="45CD069B" w14:textId="0D9D4DB1" w:rsidR="00C05A15" w:rsidRPr="00FD1B95" w:rsidRDefault="00C05A15" w:rsidP="00C05A15">
      <w:pPr>
        <w:rPr>
          <w:rFonts w:ascii="Arial" w:hAnsi="Arial" w:cs="Arial"/>
          <w:b/>
          <w:bCs/>
          <w:color w:val="000000"/>
        </w:rPr>
      </w:pPr>
      <w:r w:rsidRPr="00FD1B95">
        <w:rPr>
          <w:rFonts w:ascii="Arial" w:hAnsi="Arial" w:cs="Arial"/>
          <w:b/>
          <w:bCs/>
          <w:color w:val="000000"/>
        </w:rPr>
        <w:t>CD8</w:t>
      </w:r>
      <w:r w:rsidR="00A838E2">
        <w:rPr>
          <w:rFonts w:ascii="Arial" w:hAnsi="Arial" w:cs="Arial"/>
          <w:b/>
          <w:bCs/>
          <w:color w:val="000000"/>
        </w:rPr>
        <w:tab/>
      </w:r>
      <w:r w:rsidRPr="00FD1B95">
        <w:rPr>
          <w:rFonts w:ascii="Arial" w:hAnsi="Arial" w:cs="Arial"/>
          <w:b/>
          <w:bCs/>
          <w:color w:val="000000"/>
        </w:rPr>
        <w:t xml:space="preserve"> Other</w:t>
      </w:r>
    </w:p>
    <w:p w14:paraId="65834DAF" w14:textId="77777777" w:rsidR="00C05A15" w:rsidRPr="00A838E2" w:rsidRDefault="00C05A15" w:rsidP="002B7206">
      <w:pPr>
        <w:spacing w:after="0"/>
        <w:rPr>
          <w:rFonts w:ascii="Arial" w:hAnsi="Arial" w:cs="Arial"/>
          <w:color w:val="000000"/>
        </w:rPr>
      </w:pPr>
      <w:r w:rsidRPr="00A838E2">
        <w:rPr>
          <w:rFonts w:ascii="Arial" w:hAnsi="Arial" w:cs="Arial"/>
          <w:color w:val="000000"/>
        </w:rPr>
        <w:t>8.1</w:t>
      </w:r>
      <w:r w:rsidRPr="00A838E2">
        <w:rPr>
          <w:rFonts w:ascii="Arial" w:hAnsi="Arial" w:cs="Arial"/>
          <w:color w:val="000000"/>
        </w:rPr>
        <w:tab/>
      </w:r>
    </w:p>
    <w:p w14:paraId="7948298F" w14:textId="77777777" w:rsidR="00C05A15" w:rsidRPr="00A838E2" w:rsidRDefault="00C05A15" w:rsidP="002B7206">
      <w:pPr>
        <w:spacing w:after="0"/>
        <w:rPr>
          <w:rFonts w:ascii="Arial" w:hAnsi="Arial" w:cs="Arial"/>
          <w:color w:val="000000"/>
        </w:rPr>
      </w:pPr>
      <w:r w:rsidRPr="00A838E2">
        <w:rPr>
          <w:rFonts w:ascii="Arial" w:hAnsi="Arial" w:cs="Arial"/>
          <w:color w:val="000000"/>
        </w:rPr>
        <w:t>8.2</w:t>
      </w:r>
      <w:r w:rsidRPr="00A838E2">
        <w:rPr>
          <w:rFonts w:ascii="Arial" w:hAnsi="Arial" w:cs="Arial"/>
          <w:color w:val="000000"/>
        </w:rPr>
        <w:tab/>
      </w:r>
    </w:p>
    <w:p w14:paraId="606F3DDF" w14:textId="77777777" w:rsidR="00C05A15" w:rsidRPr="000F35F8" w:rsidRDefault="00C05A15" w:rsidP="00C05A15">
      <w:pPr>
        <w:rPr>
          <w:rFonts w:ascii="Arial" w:hAnsi="Arial" w:cs="Arial"/>
          <w:color w:val="000000"/>
        </w:rPr>
      </w:pPr>
    </w:p>
    <w:p w14:paraId="55BD2FA6" w14:textId="26A575A5" w:rsidR="009363ED" w:rsidRPr="000F35F8" w:rsidRDefault="00C05A15" w:rsidP="00C05A15">
      <w:r w:rsidRPr="000F35F8">
        <w:rPr>
          <w:rFonts w:ascii="Arial" w:hAnsi="Arial" w:cs="Arial"/>
          <w:color w:val="000000"/>
        </w:rPr>
        <w:t xml:space="preserve"> * Any Appeal Decisions on which a party intends to rely must each be prefaced with a note explaining the relevance of the Decision to the issues arising in the current Inquiry case, together with the propositions relied on, with the relevant paragraphs flagged up.  A similar approach is to be taken in relation to any legal citations relied upon.    </w:t>
      </w:r>
    </w:p>
    <w:sectPr w:rsidR="009363ED" w:rsidRPr="000F35F8" w:rsidSect="00D47F10">
      <w:headerReference w:type="default" r:id="rId7"/>
      <w:headerReference w:type="first" r:id="rId8"/>
      <w:pgSz w:w="11906" w:h="17338"/>
      <w:pgMar w:top="1387" w:right="900" w:bottom="891" w:left="128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76F2" w14:textId="77777777" w:rsidR="00576A19" w:rsidRDefault="00576A19" w:rsidP="00783D95">
      <w:pPr>
        <w:spacing w:after="0" w:line="240" w:lineRule="auto"/>
      </w:pPr>
      <w:r>
        <w:separator/>
      </w:r>
    </w:p>
  </w:endnote>
  <w:endnote w:type="continuationSeparator" w:id="0">
    <w:p w14:paraId="1173527B" w14:textId="77777777" w:rsidR="00576A19" w:rsidRDefault="00576A19" w:rsidP="0078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A4EE" w14:textId="77777777" w:rsidR="00576A19" w:rsidRDefault="00576A19" w:rsidP="00783D95">
      <w:pPr>
        <w:spacing w:after="0" w:line="240" w:lineRule="auto"/>
      </w:pPr>
      <w:r>
        <w:separator/>
      </w:r>
    </w:p>
  </w:footnote>
  <w:footnote w:type="continuationSeparator" w:id="0">
    <w:p w14:paraId="09618065" w14:textId="77777777" w:rsidR="00576A19" w:rsidRDefault="00576A19" w:rsidP="0078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4DB4" w14:textId="34110938" w:rsidR="00783D95" w:rsidRDefault="00783D95">
    <w:pPr>
      <w:pStyle w:val="Header"/>
    </w:pPr>
  </w:p>
  <w:p w14:paraId="15C10B69" w14:textId="77777777" w:rsidR="00783D95" w:rsidRDefault="00783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A31A" w14:textId="0C9B898E" w:rsidR="00B429A8" w:rsidRDefault="00D47F10">
    <w:pPr>
      <w:pStyle w:val="Header"/>
    </w:pPr>
    <w:r>
      <w:rPr>
        <w:noProof/>
      </w:rPr>
      <w:drawing>
        <wp:inline distT="0" distB="0" distL="0" distR="0" wp14:anchorId="45F8C8C1" wp14:editId="743A687B">
          <wp:extent cx="3419856" cy="359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9856" cy="359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8E9"/>
    <w:multiLevelType w:val="hybridMultilevel"/>
    <w:tmpl w:val="C37AB3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2E1A70"/>
    <w:multiLevelType w:val="hybridMultilevel"/>
    <w:tmpl w:val="CB8653AA"/>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A67786"/>
    <w:multiLevelType w:val="hybridMultilevel"/>
    <w:tmpl w:val="B1D6E752"/>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790780"/>
    <w:multiLevelType w:val="hybridMultilevel"/>
    <w:tmpl w:val="22FEC758"/>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EB1D48"/>
    <w:multiLevelType w:val="hybridMultilevel"/>
    <w:tmpl w:val="2B68BA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B583DA3"/>
    <w:multiLevelType w:val="hybridMultilevel"/>
    <w:tmpl w:val="C27CA2BE"/>
    <w:lvl w:ilvl="0" w:tplc="0809000F">
      <w:start w:val="1"/>
      <w:numFmt w:val="decimal"/>
      <w:lvlText w:val="%1."/>
      <w:lvlJc w:val="left"/>
      <w:pPr>
        <w:ind w:left="720" w:hanging="360"/>
      </w:pPr>
    </w:lvl>
    <w:lvl w:ilvl="1" w:tplc="C002C592">
      <w:start w:val="1"/>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7A2730"/>
    <w:multiLevelType w:val="hybridMultilevel"/>
    <w:tmpl w:val="DE32E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201619">
    <w:abstractNumId w:val="5"/>
  </w:num>
  <w:num w:numId="2" w16cid:durableId="372002533">
    <w:abstractNumId w:val="6"/>
  </w:num>
  <w:num w:numId="3" w16cid:durableId="439882582">
    <w:abstractNumId w:val="4"/>
  </w:num>
  <w:num w:numId="4" w16cid:durableId="4215092">
    <w:abstractNumId w:val="1"/>
  </w:num>
  <w:num w:numId="5" w16cid:durableId="822695515">
    <w:abstractNumId w:val="0"/>
  </w:num>
  <w:num w:numId="6" w16cid:durableId="1588882753">
    <w:abstractNumId w:val="3"/>
  </w:num>
  <w:num w:numId="7" w16cid:durableId="1976447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05"/>
    <w:rsid w:val="00040A04"/>
    <w:rsid w:val="000421CB"/>
    <w:rsid w:val="0004398F"/>
    <w:rsid w:val="0004526E"/>
    <w:rsid w:val="00072A43"/>
    <w:rsid w:val="00080037"/>
    <w:rsid w:val="0008462F"/>
    <w:rsid w:val="00087EB4"/>
    <w:rsid w:val="000A09B8"/>
    <w:rsid w:val="000B6E54"/>
    <w:rsid w:val="000C5CCB"/>
    <w:rsid w:val="000C6B97"/>
    <w:rsid w:val="000F1976"/>
    <w:rsid w:val="000F35F8"/>
    <w:rsid w:val="000F3823"/>
    <w:rsid w:val="000F3985"/>
    <w:rsid w:val="001077AB"/>
    <w:rsid w:val="00111642"/>
    <w:rsid w:val="001122A7"/>
    <w:rsid w:val="001237DB"/>
    <w:rsid w:val="00155CAE"/>
    <w:rsid w:val="00162BB0"/>
    <w:rsid w:val="00162CF8"/>
    <w:rsid w:val="00163076"/>
    <w:rsid w:val="00163E0A"/>
    <w:rsid w:val="001646A7"/>
    <w:rsid w:val="0018184C"/>
    <w:rsid w:val="001A472A"/>
    <w:rsid w:val="001B08D5"/>
    <w:rsid w:val="001B4198"/>
    <w:rsid w:val="001C6827"/>
    <w:rsid w:val="001D674E"/>
    <w:rsid w:val="0020158B"/>
    <w:rsid w:val="00215CA6"/>
    <w:rsid w:val="00235DA4"/>
    <w:rsid w:val="002404CE"/>
    <w:rsid w:val="00256AF7"/>
    <w:rsid w:val="00256F4E"/>
    <w:rsid w:val="00262223"/>
    <w:rsid w:val="00266B54"/>
    <w:rsid w:val="00273F90"/>
    <w:rsid w:val="00297BF4"/>
    <w:rsid w:val="002B23F9"/>
    <w:rsid w:val="002B53AB"/>
    <w:rsid w:val="002B7206"/>
    <w:rsid w:val="002D2B01"/>
    <w:rsid w:val="002D4171"/>
    <w:rsid w:val="002E0425"/>
    <w:rsid w:val="002E0EB0"/>
    <w:rsid w:val="002E4796"/>
    <w:rsid w:val="002F0602"/>
    <w:rsid w:val="0031187C"/>
    <w:rsid w:val="003262C6"/>
    <w:rsid w:val="003514CB"/>
    <w:rsid w:val="0035297D"/>
    <w:rsid w:val="003534D1"/>
    <w:rsid w:val="0035409E"/>
    <w:rsid w:val="003825FB"/>
    <w:rsid w:val="0038661A"/>
    <w:rsid w:val="003A0FCE"/>
    <w:rsid w:val="003A343A"/>
    <w:rsid w:val="003B1421"/>
    <w:rsid w:val="003B224B"/>
    <w:rsid w:val="003C1AE9"/>
    <w:rsid w:val="003C20D0"/>
    <w:rsid w:val="003C32C3"/>
    <w:rsid w:val="003D16BE"/>
    <w:rsid w:val="00412174"/>
    <w:rsid w:val="00413824"/>
    <w:rsid w:val="00414574"/>
    <w:rsid w:val="00424990"/>
    <w:rsid w:val="00430AED"/>
    <w:rsid w:val="004329B4"/>
    <w:rsid w:val="00436004"/>
    <w:rsid w:val="004471CB"/>
    <w:rsid w:val="00450B00"/>
    <w:rsid w:val="00454140"/>
    <w:rsid w:val="00454BCC"/>
    <w:rsid w:val="00456174"/>
    <w:rsid w:val="00465EFA"/>
    <w:rsid w:val="0047482F"/>
    <w:rsid w:val="00486CAD"/>
    <w:rsid w:val="00495B1D"/>
    <w:rsid w:val="00495EEE"/>
    <w:rsid w:val="004A23F7"/>
    <w:rsid w:val="004A5413"/>
    <w:rsid w:val="004B5A57"/>
    <w:rsid w:val="004D1814"/>
    <w:rsid w:val="004D79A2"/>
    <w:rsid w:val="004E34BA"/>
    <w:rsid w:val="004F08B5"/>
    <w:rsid w:val="004F6C1F"/>
    <w:rsid w:val="0051014A"/>
    <w:rsid w:val="00511FB4"/>
    <w:rsid w:val="0051350E"/>
    <w:rsid w:val="00520734"/>
    <w:rsid w:val="00521C3E"/>
    <w:rsid w:val="0052423A"/>
    <w:rsid w:val="00530D62"/>
    <w:rsid w:val="005351AE"/>
    <w:rsid w:val="00535D7E"/>
    <w:rsid w:val="0054073E"/>
    <w:rsid w:val="00541D24"/>
    <w:rsid w:val="00547048"/>
    <w:rsid w:val="00554EF2"/>
    <w:rsid w:val="0056481E"/>
    <w:rsid w:val="00564D9B"/>
    <w:rsid w:val="00567A4B"/>
    <w:rsid w:val="00575D63"/>
    <w:rsid w:val="00576A19"/>
    <w:rsid w:val="005800D0"/>
    <w:rsid w:val="005A3570"/>
    <w:rsid w:val="005C1FDF"/>
    <w:rsid w:val="005C51C3"/>
    <w:rsid w:val="005E6DA5"/>
    <w:rsid w:val="005E7B7C"/>
    <w:rsid w:val="005E7F76"/>
    <w:rsid w:val="005F2303"/>
    <w:rsid w:val="00607704"/>
    <w:rsid w:val="00611696"/>
    <w:rsid w:val="006155DA"/>
    <w:rsid w:val="00617C38"/>
    <w:rsid w:val="006216D7"/>
    <w:rsid w:val="00622C0B"/>
    <w:rsid w:val="00630BC4"/>
    <w:rsid w:val="006414C3"/>
    <w:rsid w:val="00642AFB"/>
    <w:rsid w:val="00657194"/>
    <w:rsid w:val="006572D3"/>
    <w:rsid w:val="00657BBC"/>
    <w:rsid w:val="00661977"/>
    <w:rsid w:val="00663AD3"/>
    <w:rsid w:val="00663F02"/>
    <w:rsid w:val="006744D1"/>
    <w:rsid w:val="00683B4A"/>
    <w:rsid w:val="00695232"/>
    <w:rsid w:val="006956BA"/>
    <w:rsid w:val="006A0B2C"/>
    <w:rsid w:val="006A5DDF"/>
    <w:rsid w:val="006B394D"/>
    <w:rsid w:val="006C28B0"/>
    <w:rsid w:val="006C2AAA"/>
    <w:rsid w:val="006E27A5"/>
    <w:rsid w:val="006E58AF"/>
    <w:rsid w:val="006E77C9"/>
    <w:rsid w:val="006F3F1E"/>
    <w:rsid w:val="006F5CE6"/>
    <w:rsid w:val="006F68C2"/>
    <w:rsid w:val="00703032"/>
    <w:rsid w:val="00705EDA"/>
    <w:rsid w:val="007337BB"/>
    <w:rsid w:val="0073539A"/>
    <w:rsid w:val="00742442"/>
    <w:rsid w:val="00742F56"/>
    <w:rsid w:val="00746CB8"/>
    <w:rsid w:val="00751E17"/>
    <w:rsid w:val="00776090"/>
    <w:rsid w:val="00782B12"/>
    <w:rsid w:val="00783833"/>
    <w:rsid w:val="00783D95"/>
    <w:rsid w:val="00785066"/>
    <w:rsid w:val="00785105"/>
    <w:rsid w:val="007949C6"/>
    <w:rsid w:val="007A0127"/>
    <w:rsid w:val="007A7D3B"/>
    <w:rsid w:val="007A7FF6"/>
    <w:rsid w:val="007C0E57"/>
    <w:rsid w:val="007D4477"/>
    <w:rsid w:val="007E5E3A"/>
    <w:rsid w:val="007F3913"/>
    <w:rsid w:val="008123F2"/>
    <w:rsid w:val="00812FA1"/>
    <w:rsid w:val="00815110"/>
    <w:rsid w:val="008176D4"/>
    <w:rsid w:val="00825366"/>
    <w:rsid w:val="00832DD3"/>
    <w:rsid w:val="00840033"/>
    <w:rsid w:val="008409A6"/>
    <w:rsid w:val="00850D59"/>
    <w:rsid w:val="00854886"/>
    <w:rsid w:val="008678F0"/>
    <w:rsid w:val="00877B35"/>
    <w:rsid w:val="00882559"/>
    <w:rsid w:val="008908EB"/>
    <w:rsid w:val="008927A8"/>
    <w:rsid w:val="00895F4A"/>
    <w:rsid w:val="008975EE"/>
    <w:rsid w:val="008A39C0"/>
    <w:rsid w:val="008B36F8"/>
    <w:rsid w:val="008B6B7F"/>
    <w:rsid w:val="008C3ABE"/>
    <w:rsid w:val="008C43BD"/>
    <w:rsid w:val="008F071A"/>
    <w:rsid w:val="008F1A52"/>
    <w:rsid w:val="008F69F8"/>
    <w:rsid w:val="008F73B5"/>
    <w:rsid w:val="00912963"/>
    <w:rsid w:val="00914044"/>
    <w:rsid w:val="00925544"/>
    <w:rsid w:val="009352DB"/>
    <w:rsid w:val="009363ED"/>
    <w:rsid w:val="00945CB3"/>
    <w:rsid w:val="00950326"/>
    <w:rsid w:val="0095106A"/>
    <w:rsid w:val="00955877"/>
    <w:rsid w:val="009629F6"/>
    <w:rsid w:val="009630CA"/>
    <w:rsid w:val="00967FB5"/>
    <w:rsid w:val="00975D9B"/>
    <w:rsid w:val="009811A1"/>
    <w:rsid w:val="009846AE"/>
    <w:rsid w:val="00990D24"/>
    <w:rsid w:val="00997223"/>
    <w:rsid w:val="009A04B8"/>
    <w:rsid w:val="009A1465"/>
    <w:rsid w:val="009A5712"/>
    <w:rsid w:val="009E5327"/>
    <w:rsid w:val="009E785C"/>
    <w:rsid w:val="00A04597"/>
    <w:rsid w:val="00A22065"/>
    <w:rsid w:val="00A453BB"/>
    <w:rsid w:val="00A53347"/>
    <w:rsid w:val="00A630FE"/>
    <w:rsid w:val="00A63EE1"/>
    <w:rsid w:val="00A656A0"/>
    <w:rsid w:val="00A70B18"/>
    <w:rsid w:val="00A73025"/>
    <w:rsid w:val="00A7387F"/>
    <w:rsid w:val="00A80AAD"/>
    <w:rsid w:val="00A81D4A"/>
    <w:rsid w:val="00A838E2"/>
    <w:rsid w:val="00A84764"/>
    <w:rsid w:val="00A914D7"/>
    <w:rsid w:val="00AA4D9F"/>
    <w:rsid w:val="00AC40BF"/>
    <w:rsid w:val="00AD5167"/>
    <w:rsid w:val="00AD7FA5"/>
    <w:rsid w:val="00AE12EB"/>
    <w:rsid w:val="00AE66DB"/>
    <w:rsid w:val="00AF665C"/>
    <w:rsid w:val="00B012E5"/>
    <w:rsid w:val="00B113D5"/>
    <w:rsid w:val="00B1494D"/>
    <w:rsid w:val="00B20AEC"/>
    <w:rsid w:val="00B32A9C"/>
    <w:rsid w:val="00B37EEA"/>
    <w:rsid w:val="00B429A8"/>
    <w:rsid w:val="00B5285E"/>
    <w:rsid w:val="00B55FF0"/>
    <w:rsid w:val="00B57544"/>
    <w:rsid w:val="00B60AD4"/>
    <w:rsid w:val="00B704D2"/>
    <w:rsid w:val="00B71FA5"/>
    <w:rsid w:val="00B749D6"/>
    <w:rsid w:val="00B807DA"/>
    <w:rsid w:val="00B82D3F"/>
    <w:rsid w:val="00B87019"/>
    <w:rsid w:val="00BA0ABC"/>
    <w:rsid w:val="00BA1EB4"/>
    <w:rsid w:val="00BA332B"/>
    <w:rsid w:val="00BB69A1"/>
    <w:rsid w:val="00BC53FE"/>
    <w:rsid w:val="00BC7B9C"/>
    <w:rsid w:val="00BD4587"/>
    <w:rsid w:val="00C01791"/>
    <w:rsid w:val="00C05A15"/>
    <w:rsid w:val="00C17742"/>
    <w:rsid w:val="00C20E2C"/>
    <w:rsid w:val="00C2337D"/>
    <w:rsid w:val="00C348A5"/>
    <w:rsid w:val="00C45BDC"/>
    <w:rsid w:val="00C471FA"/>
    <w:rsid w:val="00C60B62"/>
    <w:rsid w:val="00C635C1"/>
    <w:rsid w:val="00C65F53"/>
    <w:rsid w:val="00C71BD8"/>
    <w:rsid w:val="00C73E9B"/>
    <w:rsid w:val="00CB631E"/>
    <w:rsid w:val="00CB6B05"/>
    <w:rsid w:val="00CD1286"/>
    <w:rsid w:val="00CF0429"/>
    <w:rsid w:val="00D035EF"/>
    <w:rsid w:val="00D05352"/>
    <w:rsid w:val="00D1363B"/>
    <w:rsid w:val="00D151EF"/>
    <w:rsid w:val="00D163F2"/>
    <w:rsid w:val="00D168BE"/>
    <w:rsid w:val="00D22084"/>
    <w:rsid w:val="00D413B9"/>
    <w:rsid w:val="00D4475E"/>
    <w:rsid w:val="00D4736F"/>
    <w:rsid w:val="00D47F10"/>
    <w:rsid w:val="00D55101"/>
    <w:rsid w:val="00D622B5"/>
    <w:rsid w:val="00D6587E"/>
    <w:rsid w:val="00D66E78"/>
    <w:rsid w:val="00D92E8B"/>
    <w:rsid w:val="00D9651C"/>
    <w:rsid w:val="00D96585"/>
    <w:rsid w:val="00DA118F"/>
    <w:rsid w:val="00DB032E"/>
    <w:rsid w:val="00DC4B10"/>
    <w:rsid w:val="00DD31D5"/>
    <w:rsid w:val="00DF4333"/>
    <w:rsid w:val="00E05D02"/>
    <w:rsid w:val="00E102F8"/>
    <w:rsid w:val="00E14250"/>
    <w:rsid w:val="00E204CA"/>
    <w:rsid w:val="00E21D76"/>
    <w:rsid w:val="00E267B3"/>
    <w:rsid w:val="00E406D2"/>
    <w:rsid w:val="00E411F6"/>
    <w:rsid w:val="00E453BF"/>
    <w:rsid w:val="00E45577"/>
    <w:rsid w:val="00E45604"/>
    <w:rsid w:val="00E53E7A"/>
    <w:rsid w:val="00E678B3"/>
    <w:rsid w:val="00E72F69"/>
    <w:rsid w:val="00E85795"/>
    <w:rsid w:val="00EB05D2"/>
    <w:rsid w:val="00EB6BB0"/>
    <w:rsid w:val="00EB7375"/>
    <w:rsid w:val="00EC785C"/>
    <w:rsid w:val="00ED49C6"/>
    <w:rsid w:val="00ED4A15"/>
    <w:rsid w:val="00EE02D9"/>
    <w:rsid w:val="00EE2DB0"/>
    <w:rsid w:val="00EE50B7"/>
    <w:rsid w:val="00F37938"/>
    <w:rsid w:val="00F44646"/>
    <w:rsid w:val="00F529D4"/>
    <w:rsid w:val="00F53596"/>
    <w:rsid w:val="00F6362B"/>
    <w:rsid w:val="00F63D04"/>
    <w:rsid w:val="00F71D79"/>
    <w:rsid w:val="00F90D43"/>
    <w:rsid w:val="00F968C1"/>
    <w:rsid w:val="00FA3721"/>
    <w:rsid w:val="00FA7D79"/>
    <w:rsid w:val="00FC4A11"/>
    <w:rsid w:val="00FD1B95"/>
    <w:rsid w:val="00FD1D57"/>
    <w:rsid w:val="00FF5501"/>
    <w:rsid w:val="00FF5612"/>
    <w:rsid w:val="00FF6BCF"/>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3790D"/>
  <w15:chartTrackingRefBased/>
  <w15:docId w15:val="{D77174F8-F669-4C12-95D7-36BE7B1D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1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0033"/>
    <w:pPr>
      <w:ind w:left="720"/>
      <w:contextualSpacing/>
    </w:pPr>
  </w:style>
  <w:style w:type="paragraph" w:styleId="Header">
    <w:name w:val="header"/>
    <w:basedOn w:val="Normal"/>
    <w:link w:val="HeaderChar"/>
    <w:uiPriority w:val="99"/>
    <w:unhideWhenUsed/>
    <w:rsid w:val="0078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95"/>
  </w:style>
  <w:style w:type="paragraph" w:styleId="Footer">
    <w:name w:val="footer"/>
    <w:basedOn w:val="Normal"/>
    <w:link w:val="FooterChar"/>
    <w:uiPriority w:val="99"/>
    <w:unhideWhenUsed/>
    <w:rsid w:val="0078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95"/>
  </w:style>
  <w:style w:type="table" w:styleId="TableGrid">
    <w:name w:val="Table Grid"/>
    <w:basedOn w:val="TableNormal"/>
    <w:uiPriority w:val="39"/>
    <w:rsid w:val="0075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903">
      <w:bodyDiv w:val="1"/>
      <w:marLeft w:val="0"/>
      <w:marRight w:val="0"/>
      <w:marTop w:val="0"/>
      <w:marBottom w:val="0"/>
      <w:divBdr>
        <w:top w:val="none" w:sz="0" w:space="0" w:color="auto"/>
        <w:left w:val="none" w:sz="0" w:space="0" w:color="auto"/>
        <w:bottom w:val="none" w:sz="0" w:space="0" w:color="auto"/>
        <w:right w:val="none" w:sz="0" w:space="0" w:color="auto"/>
      </w:divBdr>
    </w:div>
    <w:div w:id="5275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Sabu, R</dc:creator>
  <cp:keywords/>
  <dc:description/>
  <cp:lastModifiedBy>Clare Clarke</cp:lastModifiedBy>
  <cp:revision>2</cp:revision>
  <cp:lastPrinted>2023-09-29T12:43:00Z</cp:lastPrinted>
  <dcterms:created xsi:type="dcterms:W3CDTF">2023-10-09T13:15:00Z</dcterms:created>
  <dcterms:modified xsi:type="dcterms:W3CDTF">2023-10-09T13:15:00Z</dcterms:modified>
</cp:coreProperties>
</file>