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B6" w:rsidRDefault="00777E20" w:rsidP="00651A6D">
      <w:pPr>
        <w:spacing w:after="120"/>
        <w:rPr>
          <w:rFonts w:ascii="Arial" w:hAnsi="Arial" w:cs="Arial"/>
          <w:b/>
          <w:sz w:val="24"/>
        </w:rPr>
      </w:pPr>
      <w:r>
        <w:rPr>
          <w:rFonts w:ascii="Arial" w:hAnsi="Arial" w:cs="Arial"/>
          <w:b/>
          <w:sz w:val="24"/>
        </w:rPr>
        <w:t>Typology 6 – Allotments</w:t>
      </w:r>
    </w:p>
    <w:tbl>
      <w:tblPr>
        <w:tblW w:w="985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A0" w:firstRow="1" w:lastRow="0" w:firstColumn="1" w:lastColumn="0" w:noHBand="0" w:noVBand="0"/>
      </w:tblPr>
      <w:tblGrid>
        <w:gridCol w:w="1101"/>
        <w:gridCol w:w="1701"/>
        <w:gridCol w:w="2268"/>
        <w:gridCol w:w="1701"/>
        <w:gridCol w:w="3083"/>
      </w:tblGrid>
      <w:tr w:rsidR="000477B1" w:rsidRPr="005975D9" w:rsidTr="000F11B2">
        <w:tc>
          <w:tcPr>
            <w:tcW w:w="1101" w:type="dxa"/>
            <w:tcBorders>
              <w:top w:val="single" w:sz="24" w:space="0" w:color="F79646"/>
              <w:left w:val="single" w:sz="4" w:space="0" w:color="FFFFFF"/>
            </w:tcBorders>
            <w:shd w:val="clear" w:color="auto" w:fill="76923C" w:themeFill="accent3" w:themeFillShade="BF"/>
          </w:tcPr>
          <w:p w:rsidR="000477B1" w:rsidRPr="005975D9" w:rsidRDefault="000477B1" w:rsidP="005975D9">
            <w:pPr>
              <w:spacing w:after="0" w:line="240" w:lineRule="auto"/>
              <w:jc w:val="center"/>
              <w:rPr>
                <w:rFonts w:ascii="Arial" w:hAnsi="Arial" w:cs="Arial"/>
                <w:b/>
                <w:bCs/>
                <w:color w:val="FFFFFF"/>
                <w:sz w:val="24"/>
              </w:rPr>
            </w:pPr>
            <w:r w:rsidRPr="005975D9">
              <w:rPr>
                <w:rFonts w:ascii="Arial" w:hAnsi="Arial" w:cs="Arial"/>
                <w:b/>
                <w:bCs/>
                <w:color w:val="FFFFFF"/>
                <w:sz w:val="24"/>
              </w:rPr>
              <w:t>Zoned Tasks</w:t>
            </w:r>
          </w:p>
        </w:tc>
        <w:tc>
          <w:tcPr>
            <w:tcW w:w="1701" w:type="dxa"/>
            <w:tcBorders>
              <w:top w:val="single" w:sz="24" w:space="0" w:color="F79646"/>
            </w:tcBorders>
            <w:shd w:val="clear" w:color="auto" w:fill="76923C" w:themeFill="accent3" w:themeFillShade="BF"/>
            <w:vAlign w:val="center"/>
          </w:tcPr>
          <w:p w:rsidR="000477B1" w:rsidRPr="005975D9" w:rsidRDefault="000477B1" w:rsidP="005975D9">
            <w:pPr>
              <w:spacing w:after="0" w:line="240" w:lineRule="auto"/>
              <w:jc w:val="center"/>
              <w:rPr>
                <w:rFonts w:ascii="Arial" w:hAnsi="Arial" w:cs="Arial"/>
                <w:b/>
                <w:bCs/>
                <w:color w:val="FFFFFF"/>
                <w:sz w:val="24"/>
              </w:rPr>
            </w:pPr>
            <w:r w:rsidRPr="005975D9">
              <w:rPr>
                <w:rFonts w:ascii="Arial" w:hAnsi="Arial" w:cs="Arial"/>
                <w:b/>
                <w:bCs/>
                <w:color w:val="FFFFFF"/>
                <w:sz w:val="24"/>
              </w:rPr>
              <w:t>Zone</w:t>
            </w:r>
          </w:p>
        </w:tc>
        <w:tc>
          <w:tcPr>
            <w:tcW w:w="2268" w:type="dxa"/>
            <w:tcBorders>
              <w:top w:val="single" w:sz="24" w:space="0" w:color="F79646"/>
            </w:tcBorders>
            <w:shd w:val="clear" w:color="auto" w:fill="76923C" w:themeFill="accent3" w:themeFillShade="BF"/>
            <w:vAlign w:val="center"/>
          </w:tcPr>
          <w:p w:rsidR="000477B1" w:rsidRPr="005975D9" w:rsidRDefault="000477B1" w:rsidP="005975D9">
            <w:pPr>
              <w:spacing w:after="0" w:line="240" w:lineRule="auto"/>
              <w:jc w:val="center"/>
              <w:rPr>
                <w:rFonts w:ascii="Arial" w:hAnsi="Arial" w:cs="Arial"/>
                <w:b/>
                <w:bCs/>
                <w:color w:val="FFFFFF"/>
                <w:sz w:val="24"/>
              </w:rPr>
            </w:pPr>
            <w:r w:rsidRPr="005975D9">
              <w:rPr>
                <w:rFonts w:ascii="Arial" w:hAnsi="Arial" w:cs="Arial"/>
                <w:b/>
                <w:bCs/>
                <w:color w:val="FFFFFF"/>
                <w:sz w:val="24"/>
              </w:rPr>
              <w:t>Definition</w:t>
            </w:r>
          </w:p>
        </w:tc>
        <w:tc>
          <w:tcPr>
            <w:tcW w:w="1701" w:type="dxa"/>
            <w:tcBorders>
              <w:top w:val="single" w:sz="24" w:space="0" w:color="F79646"/>
            </w:tcBorders>
            <w:shd w:val="clear" w:color="auto" w:fill="76923C" w:themeFill="accent3" w:themeFillShade="BF"/>
            <w:vAlign w:val="center"/>
          </w:tcPr>
          <w:p w:rsidR="000477B1" w:rsidRPr="005975D9" w:rsidRDefault="00F415A4" w:rsidP="005975D9">
            <w:pPr>
              <w:spacing w:after="0" w:line="240" w:lineRule="auto"/>
              <w:jc w:val="center"/>
              <w:rPr>
                <w:rFonts w:ascii="Arial" w:hAnsi="Arial" w:cs="Arial"/>
                <w:b/>
                <w:bCs/>
                <w:color w:val="FFFFFF"/>
                <w:sz w:val="24"/>
              </w:rPr>
            </w:pPr>
            <w:r w:rsidRPr="00F415A4">
              <w:rPr>
                <w:rFonts w:ascii="Arial" w:hAnsi="Arial" w:cs="Arial"/>
                <w:b/>
                <w:bCs/>
                <w:color w:val="FFFFFF"/>
                <w:sz w:val="24"/>
              </w:rPr>
              <w:t>General Standard</w:t>
            </w:r>
          </w:p>
        </w:tc>
        <w:tc>
          <w:tcPr>
            <w:tcW w:w="3083" w:type="dxa"/>
            <w:tcBorders>
              <w:top w:val="single" w:sz="24" w:space="0" w:color="F79646"/>
              <w:right w:val="nil"/>
            </w:tcBorders>
            <w:shd w:val="clear" w:color="auto" w:fill="76923C" w:themeFill="accent3" w:themeFillShade="BF"/>
            <w:vAlign w:val="center"/>
          </w:tcPr>
          <w:p w:rsidR="000477B1" w:rsidRPr="005975D9" w:rsidRDefault="000477B1" w:rsidP="005975D9">
            <w:pPr>
              <w:spacing w:after="0" w:line="240" w:lineRule="auto"/>
              <w:jc w:val="center"/>
              <w:rPr>
                <w:rFonts w:ascii="Arial" w:hAnsi="Arial" w:cs="Arial"/>
                <w:b/>
                <w:bCs/>
                <w:color w:val="FFFFFF"/>
                <w:sz w:val="24"/>
              </w:rPr>
            </w:pPr>
            <w:r w:rsidRPr="005975D9">
              <w:rPr>
                <w:rFonts w:ascii="Arial" w:hAnsi="Arial" w:cs="Arial"/>
                <w:b/>
                <w:bCs/>
                <w:color w:val="FFFFFF"/>
                <w:sz w:val="24"/>
              </w:rPr>
              <w:t>Example</w:t>
            </w:r>
          </w:p>
        </w:tc>
      </w:tr>
      <w:tr w:rsidR="000477B1" w:rsidRPr="005975D9" w:rsidTr="000F11B2">
        <w:trPr>
          <w:trHeight w:val="2525"/>
        </w:trPr>
        <w:tc>
          <w:tcPr>
            <w:tcW w:w="1101" w:type="dxa"/>
            <w:tcBorders>
              <w:left w:val="nil"/>
            </w:tcBorders>
            <w:shd w:val="clear" w:color="auto" w:fill="76923C" w:themeFill="accent3" w:themeFillShade="BF"/>
            <w:textDirection w:val="btLr"/>
            <w:vAlign w:val="center"/>
          </w:tcPr>
          <w:p w:rsidR="000477B1" w:rsidRPr="005975D9" w:rsidRDefault="000477B1" w:rsidP="005975D9">
            <w:pPr>
              <w:spacing w:after="0" w:line="240" w:lineRule="auto"/>
              <w:ind w:left="113" w:right="113"/>
              <w:jc w:val="center"/>
              <w:rPr>
                <w:rFonts w:ascii="Arial" w:hAnsi="Arial" w:cs="Arial"/>
                <w:b/>
                <w:color w:val="FFFFFF"/>
                <w:sz w:val="24"/>
              </w:rPr>
            </w:pPr>
            <w:r w:rsidRPr="005975D9">
              <w:rPr>
                <w:rFonts w:ascii="Arial" w:hAnsi="Arial" w:cs="Arial"/>
                <w:b/>
                <w:color w:val="FFFFFF"/>
                <w:sz w:val="24"/>
              </w:rPr>
              <w:t>Grass cutting</w:t>
            </w:r>
          </w:p>
        </w:tc>
        <w:tc>
          <w:tcPr>
            <w:tcW w:w="1701" w:type="dxa"/>
            <w:shd w:val="clear" w:color="auto" w:fill="EAF1DD" w:themeFill="accent3" w:themeFillTint="33"/>
            <w:vAlign w:val="center"/>
          </w:tcPr>
          <w:p w:rsidR="000477B1" w:rsidRPr="005975D9" w:rsidRDefault="000477B1" w:rsidP="005975D9">
            <w:pPr>
              <w:spacing w:after="0" w:line="240" w:lineRule="auto"/>
              <w:jc w:val="center"/>
              <w:rPr>
                <w:rFonts w:ascii="Arial" w:hAnsi="Arial" w:cs="Arial"/>
                <w:color w:val="000000"/>
                <w:sz w:val="24"/>
              </w:rPr>
            </w:pPr>
            <w:r w:rsidRPr="005975D9">
              <w:rPr>
                <w:rFonts w:ascii="Arial" w:hAnsi="Arial" w:cs="Arial"/>
                <w:color w:val="000000"/>
                <w:sz w:val="24"/>
              </w:rPr>
              <w:t>3</w:t>
            </w:r>
            <w:r>
              <w:rPr>
                <w:rFonts w:ascii="Arial" w:hAnsi="Arial" w:cs="Arial"/>
                <w:color w:val="000000"/>
                <w:sz w:val="24"/>
              </w:rPr>
              <w:t xml:space="preserve"> - General</w:t>
            </w:r>
          </w:p>
        </w:tc>
        <w:tc>
          <w:tcPr>
            <w:tcW w:w="2268" w:type="dxa"/>
            <w:shd w:val="clear" w:color="auto" w:fill="EAF1DD" w:themeFill="accent3" w:themeFillTint="33"/>
            <w:vAlign w:val="center"/>
          </w:tcPr>
          <w:p w:rsidR="000477B1" w:rsidRPr="005975D9" w:rsidRDefault="000477B1" w:rsidP="005975D9">
            <w:pPr>
              <w:spacing w:after="0" w:line="240" w:lineRule="auto"/>
              <w:rPr>
                <w:rFonts w:ascii="Arial" w:hAnsi="Arial" w:cs="Arial"/>
                <w:color w:val="000000"/>
                <w:sz w:val="24"/>
              </w:rPr>
            </w:pPr>
            <w:r w:rsidRPr="005975D9">
              <w:rPr>
                <w:rFonts w:ascii="Arial" w:hAnsi="Arial" w:cs="Arial"/>
                <w:color w:val="000000"/>
                <w:sz w:val="24"/>
              </w:rPr>
              <w:t xml:space="preserve">This standard will be sufficient to ensure access to entry/exit points and to individual plots remain clear </w:t>
            </w:r>
          </w:p>
        </w:tc>
        <w:tc>
          <w:tcPr>
            <w:tcW w:w="1701" w:type="dxa"/>
            <w:shd w:val="clear" w:color="auto" w:fill="EAF1DD" w:themeFill="accent3" w:themeFillTint="33"/>
            <w:vAlign w:val="center"/>
          </w:tcPr>
          <w:p w:rsidR="000477B1" w:rsidRPr="005975D9" w:rsidRDefault="000477B1" w:rsidP="005975D9">
            <w:pPr>
              <w:spacing w:after="0" w:line="240" w:lineRule="auto"/>
              <w:rPr>
                <w:rFonts w:ascii="Arial" w:hAnsi="Arial" w:cs="Arial"/>
                <w:color w:val="000000"/>
                <w:sz w:val="24"/>
              </w:rPr>
            </w:pPr>
            <w:r w:rsidRPr="00756E3C">
              <w:rPr>
                <w:rFonts w:ascii="Arial" w:hAnsi="Arial" w:cs="Arial"/>
                <w:color w:val="000000"/>
                <w:sz w:val="24"/>
                <w:szCs w:val="24"/>
              </w:rPr>
              <w:t xml:space="preserve">Grass no longer than approx. </w:t>
            </w:r>
            <w:r>
              <w:rPr>
                <w:rFonts w:ascii="Arial" w:hAnsi="Arial" w:cs="Arial"/>
                <w:color w:val="000000"/>
                <w:sz w:val="24"/>
                <w:szCs w:val="24"/>
              </w:rPr>
              <w:t>100</w:t>
            </w:r>
            <w:r w:rsidRPr="00756E3C">
              <w:rPr>
                <w:rFonts w:ascii="Arial" w:hAnsi="Arial" w:cs="Arial"/>
                <w:color w:val="000000"/>
                <w:sz w:val="24"/>
                <w:szCs w:val="24"/>
              </w:rPr>
              <w:t>mm</w:t>
            </w:r>
            <w:r>
              <w:rPr>
                <w:rFonts w:ascii="Arial" w:hAnsi="Arial" w:cs="Arial"/>
                <w:color w:val="000000"/>
                <w:sz w:val="24"/>
                <w:szCs w:val="24"/>
              </w:rPr>
              <w:t xml:space="preserve">, free of unsightly clumps of </w:t>
            </w:r>
            <w:r w:rsidR="006063CE">
              <w:rPr>
                <w:rFonts w:ascii="Arial" w:hAnsi="Arial" w:cs="Arial"/>
                <w:color w:val="000000"/>
                <w:sz w:val="24"/>
                <w:szCs w:val="24"/>
              </w:rPr>
              <w:t>clippings</w:t>
            </w:r>
            <w:r w:rsidRPr="005975D9">
              <w:rPr>
                <w:rFonts w:ascii="Arial" w:hAnsi="Arial" w:cs="Arial"/>
                <w:color w:val="000000"/>
                <w:sz w:val="24"/>
              </w:rPr>
              <w:t>)</w:t>
            </w:r>
          </w:p>
        </w:tc>
        <w:tc>
          <w:tcPr>
            <w:tcW w:w="3083" w:type="dxa"/>
            <w:shd w:val="clear" w:color="auto" w:fill="EAF1DD" w:themeFill="accent3" w:themeFillTint="33"/>
          </w:tcPr>
          <w:p w:rsidR="000477B1" w:rsidRPr="005975D9" w:rsidRDefault="000477B1" w:rsidP="005975D9">
            <w:pPr>
              <w:spacing w:after="0" w:line="240" w:lineRule="auto"/>
              <w:jc w:val="center"/>
              <w:rPr>
                <w:rFonts w:ascii="Arial" w:hAnsi="Arial" w:cs="Arial"/>
                <w:color w:val="000000"/>
                <w:sz w:val="24"/>
              </w:rPr>
            </w:pPr>
            <w:r>
              <w:rPr>
                <w:noProof/>
                <w:lang w:eastAsia="en-GB"/>
              </w:rPr>
              <w:drawing>
                <wp:anchor distT="0" distB="0" distL="114300" distR="114300" simplePos="0" relativeHeight="251712512" behindDoc="0" locked="0" layoutInCell="1" allowOverlap="1" wp14:anchorId="0612616C" wp14:editId="0A3022B6">
                  <wp:simplePos x="0" y="0"/>
                  <wp:positionH relativeFrom="column">
                    <wp:posOffset>-45085</wp:posOffset>
                  </wp:positionH>
                  <wp:positionV relativeFrom="paragraph">
                    <wp:posOffset>86995</wp:posOffset>
                  </wp:positionV>
                  <wp:extent cx="1931035" cy="1448435"/>
                  <wp:effectExtent l="0" t="0" r="0" b="0"/>
                  <wp:wrapSquare wrapText="bothSides"/>
                  <wp:docPr id="2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035" cy="1448435"/>
                          </a:xfrm>
                          <a:prstGeom prst="rect">
                            <a:avLst/>
                          </a:prstGeom>
                          <a:noFill/>
                        </pic:spPr>
                      </pic:pic>
                    </a:graphicData>
                  </a:graphic>
                  <wp14:sizeRelH relativeFrom="page">
                    <wp14:pctWidth>0</wp14:pctWidth>
                  </wp14:sizeRelH>
                  <wp14:sizeRelV relativeFrom="page">
                    <wp14:pctHeight>0</wp14:pctHeight>
                  </wp14:sizeRelV>
                </wp:anchor>
              </w:drawing>
            </w:r>
          </w:p>
        </w:tc>
      </w:tr>
      <w:tr w:rsidR="000477B1" w:rsidRPr="005975D9" w:rsidTr="000F11B2">
        <w:trPr>
          <w:trHeight w:val="2685"/>
        </w:trPr>
        <w:tc>
          <w:tcPr>
            <w:tcW w:w="1101" w:type="dxa"/>
            <w:tcBorders>
              <w:left w:val="nil"/>
            </w:tcBorders>
            <w:shd w:val="clear" w:color="auto" w:fill="76923C" w:themeFill="accent3" w:themeFillShade="BF"/>
            <w:textDirection w:val="btLr"/>
            <w:vAlign w:val="center"/>
          </w:tcPr>
          <w:p w:rsidR="000477B1" w:rsidRPr="005975D9" w:rsidRDefault="000477B1" w:rsidP="005975D9">
            <w:pPr>
              <w:spacing w:after="0" w:line="240" w:lineRule="auto"/>
              <w:ind w:left="113" w:right="113"/>
              <w:jc w:val="center"/>
              <w:rPr>
                <w:rFonts w:ascii="Arial" w:hAnsi="Arial" w:cs="Arial"/>
                <w:b/>
                <w:color w:val="FFFFFF"/>
                <w:sz w:val="24"/>
              </w:rPr>
            </w:pPr>
            <w:r w:rsidRPr="005975D9">
              <w:rPr>
                <w:rFonts w:ascii="Arial" w:hAnsi="Arial" w:cs="Arial"/>
                <w:b/>
                <w:color w:val="FFFFFF"/>
                <w:sz w:val="24"/>
              </w:rPr>
              <w:t>Hedge maintenance</w:t>
            </w:r>
          </w:p>
        </w:tc>
        <w:tc>
          <w:tcPr>
            <w:tcW w:w="1701" w:type="dxa"/>
            <w:shd w:val="clear" w:color="auto" w:fill="auto"/>
            <w:vAlign w:val="center"/>
          </w:tcPr>
          <w:p w:rsidR="000477B1" w:rsidRPr="005975D9" w:rsidRDefault="000477B1" w:rsidP="005975D9">
            <w:pPr>
              <w:spacing w:after="0" w:line="240" w:lineRule="auto"/>
              <w:jc w:val="center"/>
              <w:rPr>
                <w:rFonts w:ascii="Arial" w:hAnsi="Arial" w:cs="Arial"/>
                <w:color w:val="000000"/>
                <w:sz w:val="24"/>
              </w:rPr>
            </w:pPr>
            <w:r w:rsidRPr="005975D9">
              <w:rPr>
                <w:rFonts w:ascii="Arial" w:hAnsi="Arial" w:cs="Arial"/>
                <w:color w:val="000000"/>
                <w:sz w:val="24"/>
              </w:rPr>
              <w:t>2</w:t>
            </w:r>
            <w:r>
              <w:rPr>
                <w:rFonts w:ascii="Arial" w:hAnsi="Arial" w:cs="Arial"/>
                <w:color w:val="000000"/>
                <w:sz w:val="24"/>
              </w:rPr>
              <w:t xml:space="preserve"> - Amenity</w:t>
            </w:r>
          </w:p>
        </w:tc>
        <w:tc>
          <w:tcPr>
            <w:tcW w:w="2268" w:type="dxa"/>
            <w:shd w:val="clear" w:color="auto" w:fill="auto"/>
            <w:vAlign w:val="center"/>
          </w:tcPr>
          <w:p w:rsidR="000477B1" w:rsidRPr="005975D9" w:rsidRDefault="000477B1" w:rsidP="00777E20">
            <w:pPr>
              <w:spacing w:after="0" w:line="240" w:lineRule="auto"/>
              <w:rPr>
                <w:rFonts w:ascii="Arial" w:hAnsi="Arial" w:cs="Arial"/>
                <w:color w:val="000000"/>
                <w:sz w:val="24"/>
              </w:rPr>
            </w:pPr>
            <w:r w:rsidRPr="005975D9">
              <w:rPr>
                <w:rFonts w:ascii="Arial" w:hAnsi="Arial" w:cs="Arial"/>
                <w:color w:val="000000"/>
                <w:sz w:val="24"/>
              </w:rPr>
              <w:t>Boundary hedges will be maintained to ensure access paths remain clear throughout the year. Plot holders are responsible for maintaining the face of any perimeter hedge and internal hedges on their own plot.</w:t>
            </w:r>
          </w:p>
        </w:tc>
        <w:tc>
          <w:tcPr>
            <w:tcW w:w="1701" w:type="dxa"/>
            <w:shd w:val="clear" w:color="auto" w:fill="auto"/>
            <w:vAlign w:val="center"/>
          </w:tcPr>
          <w:p w:rsidR="000477B1" w:rsidRPr="005975D9" w:rsidRDefault="000477B1" w:rsidP="005975D9">
            <w:pPr>
              <w:spacing w:after="0" w:line="240" w:lineRule="auto"/>
              <w:rPr>
                <w:rFonts w:ascii="Arial" w:hAnsi="Arial" w:cs="Arial"/>
                <w:color w:val="000000"/>
                <w:sz w:val="24"/>
              </w:rPr>
            </w:pPr>
            <w:r w:rsidRPr="005975D9">
              <w:rPr>
                <w:rFonts w:ascii="Arial" w:hAnsi="Arial" w:cs="Arial"/>
                <w:color w:val="000000"/>
                <w:sz w:val="24"/>
              </w:rPr>
              <w:t>1 cut per year during the winter programme</w:t>
            </w:r>
          </w:p>
        </w:tc>
        <w:tc>
          <w:tcPr>
            <w:tcW w:w="3083" w:type="dxa"/>
            <w:shd w:val="clear" w:color="auto" w:fill="auto"/>
          </w:tcPr>
          <w:p w:rsidR="000477B1" w:rsidRPr="005975D9" w:rsidRDefault="000477B1" w:rsidP="005975D9">
            <w:pPr>
              <w:spacing w:after="0" w:line="240" w:lineRule="auto"/>
              <w:rPr>
                <w:rFonts w:ascii="Arial" w:hAnsi="Arial" w:cs="Arial"/>
                <w:color w:val="000000"/>
                <w:sz w:val="24"/>
              </w:rPr>
            </w:pPr>
            <w:r>
              <w:rPr>
                <w:noProof/>
                <w:lang w:eastAsia="en-GB"/>
              </w:rPr>
              <w:drawing>
                <wp:anchor distT="0" distB="0" distL="114300" distR="114300" simplePos="0" relativeHeight="251713536" behindDoc="0" locked="0" layoutInCell="1" allowOverlap="1" wp14:anchorId="4BBFCDA1" wp14:editId="184070B5">
                  <wp:simplePos x="0" y="0"/>
                  <wp:positionH relativeFrom="column">
                    <wp:posOffset>-45085</wp:posOffset>
                  </wp:positionH>
                  <wp:positionV relativeFrom="paragraph">
                    <wp:posOffset>389255</wp:posOffset>
                  </wp:positionV>
                  <wp:extent cx="1931035" cy="1448435"/>
                  <wp:effectExtent l="0" t="0" r="0" b="0"/>
                  <wp:wrapSquare wrapText="bothSides"/>
                  <wp:docPr id="3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035" cy="1448435"/>
                          </a:xfrm>
                          <a:prstGeom prst="rect">
                            <a:avLst/>
                          </a:prstGeom>
                          <a:noFill/>
                        </pic:spPr>
                      </pic:pic>
                    </a:graphicData>
                  </a:graphic>
                  <wp14:sizeRelH relativeFrom="page">
                    <wp14:pctWidth>0</wp14:pctWidth>
                  </wp14:sizeRelH>
                  <wp14:sizeRelV relativeFrom="page">
                    <wp14:pctHeight>0</wp14:pctHeight>
                  </wp14:sizeRelV>
                </wp:anchor>
              </w:drawing>
            </w:r>
          </w:p>
        </w:tc>
      </w:tr>
    </w:tbl>
    <w:p w:rsidR="006939B6" w:rsidRPr="00E24B7A" w:rsidRDefault="006939B6">
      <w:pPr>
        <w:rPr>
          <w:rFonts w:ascii="Arial" w:hAnsi="Arial" w:cs="Arial"/>
          <w:sz w:val="24"/>
        </w:rPr>
      </w:pPr>
      <w:bookmarkStart w:id="0" w:name="_GoBack"/>
      <w:bookmarkEnd w:id="0"/>
    </w:p>
    <w:sectPr w:rsidR="006939B6" w:rsidRPr="00E24B7A" w:rsidSect="00AA0076">
      <w:footerReference w:type="default" r:id="rId11"/>
      <w:pgSz w:w="11906" w:h="16838"/>
      <w:pgMar w:top="1135" w:right="1134" w:bottom="851" w:left="1134"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13" w:rsidRDefault="002F3F13" w:rsidP="00E24B7A">
      <w:pPr>
        <w:spacing w:after="0" w:line="240" w:lineRule="auto"/>
      </w:pPr>
      <w:r>
        <w:separator/>
      </w:r>
    </w:p>
  </w:endnote>
  <w:endnote w:type="continuationSeparator" w:id="0">
    <w:p w:rsidR="002F3F13" w:rsidRDefault="002F3F13" w:rsidP="00E2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13" w:rsidRDefault="002F3F13" w:rsidP="00E24B7A">
    <w:pPr>
      <w:pStyle w:val="Footer"/>
      <w:jc w:val="center"/>
    </w:pPr>
    <w:r>
      <w:t xml:space="preserve">Page </w:t>
    </w:r>
    <w:r>
      <w:rPr>
        <w:b/>
      </w:rPr>
      <w:fldChar w:fldCharType="begin"/>
    </w:r>
    <w:r>
      <w:rPr>
        <w:b/>
      </w:rPr>
      <w:instrText xml:space="preserve"> PAGE  \* Arabic  \* MERGEFORMAT </w:instrText>
    </w:r>
    <w:r>
      <w:rPr>
        <w:b/>
      </w:rPr>
      <w:fldChar w:fldCharType="separate"/>
    </w:r>
    <w:r w:rsidR="001F249A">
      <w:rPr>
        <w:b/>
        <w:noProof/>
      </w:rPr>
      <w:t>1</w:t>
    </w:r>
    <w:r>
      <w:rPr>
        <w:b/>
      </w:rPr>
      <w:fldChar w:fldCharType="end"/>
    </w:r>
    <w:r>
      <w:t xml:space="preserve"> of </w:t>
    </w:r>
    <w:fldSimple w:instr=" NUMPAGES  \* Arabic  \* MERGEFORMAT ">
      <w:r w:rsidR="001F249A">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13" w:rsidRDefault="002F3F13" w:rsidP="00E24B7A">
      <w:pPr>
        <w:spacing w:after="0" w:line="240" w:lineRule="auto"/>
      </w:pPr>
      <w:r>
        <w:separator/>
      </w:r>
    </w:p>
  </w:footnote>
  <w:footnote w:type="continuationSeparator" w:id="0">
    <w:p w:rsidR="002F3F13" w:rsidRDefault="002F3F13" w:rsidP="00E24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3673"/>
    <w:multiLevelType w:val="hybridMultilevel"/>
    <w:tmpl w:val="56F44C00"/>
    <w:lvl w:ilvl="0" w:tplc="51E4FA3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7A"/>
    <w:rsid w:val="00017B41"/>
    <w:rsid w:val="00026428"/>
    <w:rsid w:val="0002745E"/>
    <w:rsid w:val="00032A54"/>
    <w:rsid w:val="000477B1"/>
    <w:rsid w:val="00062960"/>
    <w:rsid w:val="00082A12"/>
    <w:rsid w:val="00083655"/>
    <w:rsid w:val="00092D69"/>
    <w:rsid w:val="0009643B"/>
    <w:rsid w:val="000A0DDD"/>
    <w:rsid w:val="000C21AF"/>
    <w:rsid w:val="000C5DDC"/>
    <w:rsid w:val="000D02A2"/>
    <w:rsid w:val="000D030A"/>
    <w:rsid w:val="000D15C4"/>
    <w:rsid w:val="000E194F"/>
    <w:rsid w:val="000F11B2"/>
    <w:rsid w:val="001112A7"/>
    <w:rsid w:val="001142FE"/>
    <w:rsid w:val="001616D8"/>
    <w:rsid w:val="0016435A"/>
    <w:rsid w:val="00172ED8"/>
    <w:rsid w:val="00183667"/>
    <w:rsid w:val="001B3E5E"/>
    <w:rsid w:val="001B6973"/>
    <w:rsid w:val="001D2CD5"/>
    <w:rsid w:val="001E2A15"/>
    <w:rsid w:val="001E69C8"/>
    <w:rsid w:val="001F249A"/>
    <w:rsid w:val="00204073"/>
    <w:rsid w:val="002070FD"/>
    <w:rsid w:val="002145EF"/>
    <w:rsid w:val="002316CD"/>
    <w:rsid w:val="002477E3"/>
    <w:rsid w:val="002541DF"/>
    <w:rsid w:val="00267831"/>
    <w:rsid w:val="00284356"/>
    <w:rsid w:val="002C7C37"/>
    <w:rsid w:val="002E37DA"/>
    <w:rsid w:val="002F2FAF"/>
    <w:rsid w:val="002F3F13"/>
    <w:rsid w:val="00340C71"/>
    <w:rsid w:val="0034310E"/>
    <w:rsid w:val="003A7DE7"/>
    <w:rsid w:val="003B4374"/>
    <w:rsid w:val="003E65C6"/>
    <w:rsid w:val="00400677"/>
    <w:rsid w:val="004400B0"/>
    <w:rsid w:val="004D42A3"/>
    <w:rsid w:val="004E739E"/>
    <w:rsid w:val="004F5698"/>
    <w:rsid w:val="0052660D"/>
    <w:rsid w:val="005307C9"/>
    <w:rsid w:val="00573EC8"/>
    <w:rsid w:val="005820EE"/>
    <w:rsid w:val="005975D9"/>
    <w:rsid w:val="005E3E48"/>
    <w:rsid w:val="005F5842"/>
    <w:rsid w:val="006063CE"/>
    <w:rsid w:val="00630F90"/>
    <w:rsid w:val="006410B9"/>
    <w:rsid w:val="006444C4"/>
    <w:rsid w:val="00651A6D"/>
    <w:rsid w:val="00657517"/>
    <w:rsid w:val="00666EAC"/>
    <w:rsid w:val="006939B6"/>
    <w:rsid w:val="006A0004"/>
    <w:rsid w:val="006C0C1F"/>
    <w:rsid w:val="006E07B3"/>
    <w:rsid w:val="00751F24"/>
    <w:rsid w:val="00756E3C"/>
    <w:rsid w:val="00770D93"/>
    <w:rsid w:val="00777E20"/>
    <w:rsid w:val="0078648D"/>
    <w:rsid w:val="0079383D"/>
    <w:rsid w:val="007A42CE"/>
    <w:rsid w:val="007D70BA"/>
    <w:rsid w:val="007F140C"/>
    <w:rsid w:val="007F6864"/>
    <w:rsid w:val="00823A16"/>
    <w:rsid w:val="00845F7A"/>
    <w:rsid w:val="00865035"/>
    <w:rsid w:val="0087122F"/>
    <w:rsid w:val="00880804"/>
    <w:rsid w:val="008D44AE"/>
    <w:rsid w:val="008D77AC"/>
    <w:rsid w:val="008F1DE9"/>
    <w:rsid w:val="008F50C3"/>
    <w:rsid w:val="009628AA"/>
    <w:rsid w:val="009D059C"/>
    <w:rsid w:val="009D1F20"/>
    <w:rsid w:val="009F3548"/>
    <w:rsid w:val="009F376A"/>
    <w:rsid w:val="009F4525"/>
    <w:rsid w:val="00A02501"/>
    <w:rsid w:val="00A31711"/>
    <w:rsid w:val="00A572B8"/>
    <w:rsid w:val="00A85A58"/>
    <w:rsid w:val="00A9567B"/>
    <w:rsid w:val="00AA0076"/>
    <w:rsid w:val="00AA5224"/>
    <w:rsid w:val="00AA7289"/>
    <w:rsid w:val="00AA75DB"/>
    <w:rsid w:val="00AC6182"/>
    <w:rsid w:val="00AE511A"/>
    <w:rsid w:val="00AF295D"/>
    <w:rsid w:val="00B0136C"/>
    <w:rsid w:val="00B1407A"/>
    <w:rsid w:val="00B1497F"/>
    <w:rsid w:val="00B2422C"/>
    <w:rsid w:val="00B745EC"/>
    <w:rsid w:val="00B92F6A"/>
    <w:rsid w:val="00BC262E"/>
    <w:rsid w:val="00BD28D2"/>
    <w:rsid w:val="00BD2B8B"/>
    <w:rsid w:val="00BF1046"/>
    <w:rsid w:val="00C10C93"/>
    <w:rsid w:val="00C14100"/>
    <w:rsid w:val="00C26903"/>
    <w:rsid w:val="00C61A09"/>
    <w:rsid w:val="00C656FA"/>
    <w:rsid w:val="00C6618B"/>
    <w:rsid w:val="00C835A4"/>
    <w:rsid w:val="00C95C8C"/>
    <w:rsid w:val="00CB0567"/>
    <w:rsid w:val="00CB44AD"/>
    <w:rsid w:val="00CC4941"/>
    <w:rsid w:val="00CD49B2"/>
    <w:rsid w:val="00CE5AC3"/>
    <w:rsid w:val="00CF2B19"/>
    <w:rsid w:val="00CF4248"/>
    <w:rsid w:val="00CF5CDE"/>
    <w:rsid w:val="00D27F86"/>
    <w:rsid w:val="00D301ED"/>
    <w:rsid w:val="00D64930"/>
    <w:rsid w:val="00D6678E"/>
    <w:rsid w:val="00D80441"/>
    <w:rsid w:val="00D85635"/>
    <w:rsid w:val="00DA4794"/>
    <w:rsid w:val="00DA485E"/>
    <w:rsid w:val="00DB173B"/>
    <w:rsid w:val="00DE3C45"/>
    <w:rsid w:val="00DF46C5"/>
    <w:rsid w:val="00E04AAA"/>
    <w:rsid w:val="00E129C6"/>
    <w:rsid w:val="00E2459E"/>
    <w:rsid w:val="00E24B7A"/>
    <w:rsid w:val="00E379D7"/>
    <w:rsid w:val="00E4681F"/>
    <w:rsid w:val="00E75A7B"/>
    <w:rsid w:val="00E833A9"/>
    <w:rsid w:val="00EA24FD"/>
    <w:rsid w:val="00EB4305"/>
    <w:rsid w:val="00EF4F1B"/>
    <w:rsid w:val="00EF71FF"/>
    <w:rsid w:val="00F11953"/>
    <w:rsid w:val="00F15B3C"/>
    <w:rsid w:val="00F415A4"/>
    <w:rsid w:val="00F44952"/>
    <w:rsid w:val="00F72266"/>
    <w:rsid w:val="00F76FBB"/>
    <w:rsid w:val="00F82692"/>
    <w:rsid w:val="00FA5EFD"/>
    <w:rsid w:val="00FB0E87"/>
    <w:rsid w:val="00FC1963"/>
    <w:rsid w:val="00FD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4B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4B7A"/>
    <w:rPr>
      <w:rFonts w:cs="Times New Roman"/>
    </w:rPr>
  </w:style>
  <w:style w:type="paragraph" w:styleId="Footer">
    <w:name w:val="footer"/>
    <w:basedOn w:val="Normal"/>
    <w:link w:val="FooterChar"/>
    <w:uiPriority w:val="99"/>
    <w:rsid w:val="00E24B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4B7A"/>
    <w:rPr>
      <w:rFonts w:cs="Times New Roman"/>
    </w:rPr>
  </w:style>
  <w:style w:type="paragraph" w:styleId="BalloonText">
    <w:name w:val="Balloon Text"/>
    <w:basedOn w:val="Normal"/>
    <w:link w:val="BalloonTextChar"/>
    <w:uiPriority w:val="99"/>
    <w:semiHidden/>
    <w:rsid w:val="00E2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B7A"/>
    <w:rPr>
      <w:rFonts w:ascii="Tahoma" w:hAnsi="Tahoma" w:cs="Tahoma"/>
      <w:sz w:val="16"/>
      <w:szCs w:val="16"/>
    </w:rPr>
  </w:style>
  <w:style w:type="table" w:styleId="TableGrid">
    <w:name w:val="Table Grid"/>
    <w:basedOn w:val="TableNormal"/>
    <w:uiPriority w:val="99"/>
    <w:rsid w:val="00E24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99"/>
    <w:rsid w:val="00D27F86"/>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3-Accent5">
    <w:name w:val="Medium Grid 3 Accent 5"/>
    <w:basedOn w:val="TableNormal"/>
    <w:uiPriority w:val="99"/>
    <w:rsid w:val="00D27F86"/>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99"/>
    <w:rsid w:val="00D27F86"/>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shd w:val="clear" w:color="auto" w:fill="215868"/>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customStyle="1" w:styleId="Default">
    <w:name w:val="Default"/>
    <w:uiPriority w:val="99"/>
    <w:rsid w:val="00172ED8"/>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3B4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4B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4B7A"/>
    <w:rPr>
      <w:rFonts w:cs="Times New Roman"/>
    </w:rPr>
  </w:style>
  <w:style w:type="paragraph" w:styleId="Footer">
    <w:name w:val="footer"/>
    <w:basedOn w:val="Normal"/>
    <w:link w:val="FooterChar"/>
    <w:uiPriority w:val="99"/>
    <w:rsid w:val="00E24B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4B7A"/>
    <w:rPr>
      <w:rFonts w:cs="Times New Roman"/>
    </w:rPr>
  </w:style>
  <w:style w:type="paragraph" w:styleId="BalloonText">
    <w:name w:val="Balloon Text"/>
    <w:basedOn w:val="Normal"/>
    <w:link w:val="BalloonTextChar"/>
    <w:uiPriority w:val="99"/>
    <w:semiHidden/>
    <w:rsid w:val="00E2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B7A"/>
    <w:rPr>
      <w:rFonts w:ascii="Tahoma" w:hAnsi="Tahoma" w:cs="Tahoma"/>
      <w:sz w:val="16"/>
      <w:szCs w:val="16"/>
    </w:rPr>
  </w:style>
  <w:style w:type="table" w:styleId="TableGrid">
    <w:name w:val="Table Grid"/>
    <w:basedOn w:val="TableNormal"/>
    <w:uiPriority w:val="99"/>
    <w:rsid w:val="00E24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99"/>
    <w:rsid w:val="00D27F86"/>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3-Accent5">
    <w:name w:val="Medium Grid 3 Accent 5"/>
    <w:basedOn w:val="TableNormal"/>
    <w:uiPriority w:val="99"/>
    <w:rsid w:val="00D27F86"/>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99"/>
    <w:rsid w:val="00D27F86"/>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shd w:val="clear" w:color="auto" w:fill="215868"/>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customStyle="1" w:styleId="Default">
    <w:name w:val="Default"/>
    <w:uiPriority w:val="99"/>
    <w:rsid w:val="00172ED8"/>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3B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CD39-4043-45E8-8B87-AB7620D5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1A286126</Template>
  <TotalTime>1</TotalTime>
  <Pages>1</Pages>
  <Words>90</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Typology 1 – Parks and Gardens</vt:lpstr>
    </vt:vector>
  </TitlesOfParts>
  <Company>Microsoft</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Typology 1 – Parks and Gardens</dc:title>
  <dc:creator>nicola king</dc:creator>
  <cp:lastModifiedBy>Goodall Adam</cp:lastModifiedBy>
  <cp:revision>3</cp:revision>
  <cp:lastPrinted>2015-11-10T10:19:00Z</cp:lastPrinted>
  <dcterms:created xsi:type="dcterms:W3CDTF">2015-11-10T12:14:00Z</dcterms:created>
  <dcterms:modified xsi:type="dcterms:W3CDTF">2015-11-10T12:15:00Z</dcterms:modified>
</cp:coreProperties>
</file>